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730F0" w14:textId="77777777" w:rsidR="00E707A3" w:rsidRPr="00754552" w:rsidRDefault="00E707A3">
      <w:pPr>
        <w:rPr>
          <w:rFonts w:ascii="Century Gothic" w:hAnsi="Century Gothic"/>
          <w:color w:val="414042"/>
        </w:rPr>
      </w:pPr>
    </w:p>
    <w:p w14:paraId="4E8D5542" w14:textId="77777777" w:rsidR="00E707A3" w:rsidRPr="00754552" w:rsidRDefault="00E707A3">
      <w:pPr>
        <w:rPr>
          <w:rFonts w:ascii="Century Gothic" w:hAnsi="Century Gothic"/>
          <w:color w:val="414042"/>
        </w:rPr>
      </w:pPr>
    </w:p>
    <w:p w14:paraId="1F0C984D" w14:textId="77777777" w:rsidR="00335A30" w:rsidRPr="004D6024" w:rsidRDefault="00E707A3" w:rsidP="00626509">
      <w:pPr>
        <w:pStyle w:val="Heading1"/>
        <w:jc w:val="center"/>
        <w:rPr>
          <w:color w:val="414042"/>
        </w:rPr>
      </w:pPr>
      <w:bookmarkStart w:id="0" w:name="_Course_Syllabus"/>
      <w:bookmarkStart w:id="1" w:name="Logo"/>
      <w:bookmarkStart w:id="2" w:name="Instructions"/>
      <w:bookmarkEnd w:id="0"/>
      <w:r w:rsidRPr="00754552">
        <w:rPr>
          <w:noProof/>
          <w:color w:val="414042"/>
        </w:rPr>
        <w:drawing>
          <wp:anchor distT="0" distB="0" distL="114300" distR="114300" simplePos="0" relativeHeight="251659264" behindDoc="0" locked="0" layoutInCell="1" allowOverlap="1" wp14:anchorId="625FE89C" wp14:editId="146B9505">
            <wp:simplePos x="0" y="0"/>
            <wp:positionH relativeFrom="page">
              <wp:align>center</wp:align>
            </wp:positionH>
            <wp:positionV relativeFrom="topMargin">
              <wp:posOffset>914400</wp:posOffset>
            </wp:positionV>
            <wp:extent cx="2020824" cy="576072"/>
            <wp:effectExtent l="0" t="0" r="0" b="0"/>
            <wp:wrapTight wrapText="bothSides">
              <wp:wrapPolygon edited="0">
                <wp:start x="0" y="0"/>
                <wp:lineTo x="0" y="7144"/>
                <wp:lineTo x="136" y="15718"/>
                <wp:lineTo x="1222" y="20957"/>
                <wp:lineTo x="1358" y="20957"/>
                <wp:lineTo x="21451" y="20957"/>
                <wp:lineTo x="21451" y="17623"/>
                <wp:lineTo x="20229" y="15241"/>
                <wp:lineTo x="20908" y="9526"/>
                <wp:lineTo x="19550" y="8097"/>
                <wp:lineTo x="17378" y="7621"/>
                <wp:lineTo x="17378" y="2858"/>
                <wp:lineTo x="7060" y="0"/>
                <wp:lineTo x="0" y="0"/>
              </wp:wrapPolygon>
            </wp:wrapTight>
            <wp:docPr id="1" name="Picture 1" descr="College of Nursing Logo" title="College of Nursing Logo">
              <a:hlinkClick xmlns:a="http://schemas.openxmlformats.org/drawingml/2006/main" r:id="rId7" tooltip="Delete this logo if it does not apply to your cour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tooltip="Delete this logo if it does not apply to your course"/>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0824" cy="576072"/>
                    </a:xfrm>
                    <a:prstGeom prst="rect">
                      <a:avLst/>
                    </a:prstGeom>
                  </pic:spPr>
                </pic:pic>
              </a:graphicData>
            </a:graphic>
            <wp14:sizeRelH relativeFrom="margin">
              <wp14:pctWidth>0</wp14:pctWidth>
            </wp14:sizeRelH>
            <wp14:sizeRelV relativeFrom="margin">
              <wp14:pctHeight>0</wp14:pctHeight>
            </wp14:sizeRelV>
          </wp:anchor>
        </w:drawing>
      </w:r>
      <w:bookmarkEnd w:id="1"/>
      <w:r w:rsidR="00DA681A">
        <w:rPr>
          <w:color w:val="414042"/>
        </w:rPr>
        <w:t xml:space="preserve">2019 Spring </w:t>
      </w:r>
      <w:hyperlink w:anchor="_Course_Syllabus" w:tooltip="When you have finished, click save as and export as a pdf.  Name your file following this format:  2020 Spring NURS4600 Syllabus" w:history="1">
        <w:r w:rsidR="00DA681A">
          <w:rPr>
            <w:rStyle w:val="Hyperlink"/>
          </w:rPr>
          <w:t>NURS 6113</w:t>
        </w:r>
        <w:r w:rsidR="00ED4B05" w:rsidRPr="00484A25">
          <w:rPr>
            <w:rStyle w:val="Hyperlink"/>
          </w:rPr>
          <w:t xml:space="preserve"> Syllabus</w:t>
        </w:r>
        <w:bookmarkEnd w:id="2"/>
      </w:hyperlink>
    </w:p>
    <w:p w14:paraId="413B74D9" w14:textId="77777777" w:rsidR="006B2F3A" w:rsidRPr="00754552" w:rsidRDefault="006B2F3A" w:rsidP="006B2F3A">
      <w:pPr>
        <w:rPr>
          <w:color w:val="414042"/>
        </w:rPr>
      </w:pPr>
    </w:p>
    <w:tbl>
      <w:tblPr>
        <w:tblStyle w:val="TableGrid"/>
        <w:tblW w:w="0" w:type="auto"/>
        <w:tblLook w:val="0620" w:firstRow="1" w:lastRow="0" w:firstColumn="0" w:lastColumn="0" w:noHBand="1" w:noVBand="1"/>
      </w:tblPr>
      <w:tblGrid>
        <w:gridCol w:w="2335"/>
        <w:gridCol w:w="7015"/>
      </w:tblGrid>
      <w:tr w:rsidR="00754552" w:rsidRPr="00754552" w14:paraId="277EDD3A" w14:textId="77777777" w:rsidTr="00575D1D">
        <w:tc>
          <w:tcPr>
            <w:tcW w:w="2335" w:type="dxa"/>
          </w:tcPr>
          <w:bookmarkStart w:id="3" w:name="Number"/>
          <w:p w14:paraId="20FE8F7C" w14:textId="77777777" w:rsidR="00626509" w:rsidRPr="00754552" w:rsidRDefault="000C3298" w:rsidP="006B2F3A">
            <w:pPr>
              <w:jc w:val="right"/>
              <w:rPr>
                <w:color w:val="414042"/>
              </w:rPr>
            </w:pPr>
            <w:r w:rsidRPr="00754552">
              <w:rPr>
                <w:color w:val="414042"/>
              </w:rPr>
              <w:fldChar w:fldCharType="begin"/>
            </w:r>
            <w:r w:rsidRPr="00754552">
              <w:rPr>
                <w:color w:val="414042"/>
              </w:rPr>
              <w:instrText xml:space="preserve"> HYPERLINK  \l "Number" \o "6772-090" </w:instrText>
            </w:r>
            <w:r w:rsidRPr="00754552">
              <w:rPr>
                <w:color w:val="414042"/>
              </w:rPr>
              <w:fldChar w:fldCharType="separate"/>
            </w:r>
            <w:r w:rsidR="00626509" w:rsidRPr="00754552">
              <w:rPr>
                <w:rStyle w:val="Hyperlink"/>
              </w:rPr>
              <w:t>Course Number:</w:t>
            </w:r>
            <w:bookmarkEnd w:id="3"/>
            <w:r w:rsidRPr="00754552">
              <w:rPr>
                <w:color w:val="414042"/>
              </w:rPr>
              <w:fldChar w:fldCharType="end"/>
            </w:r>
          </w:p>
        </w:tc>
        <w:tc>
          <w:tcPr>
            <w:tcW w:w="7015" w:type="dxa"/>
          </w:tcPr>
          <w:p w14:paraId="60D35C0A" w14:textId="77777777" w:rsidR="00626509" w:rsidRPr="00754552" w:rsidRDefault="00FD3703" w:rsidP="00626509">
            <w:pPr>
              <w:rPr>
                <w:rFonts w:cs="Times New Roman (Body CS)"/>
                <w:color w:val="414042"/>
              </w:rPr>
            </w:pPr>
            <w:r>
              <w:rPr>
                <w:rFonts w:cs="Times New Roman (Body CS)"/>
                <w:color w:val="414042"/>
              </w:rPr>
              <w:t>NURS 6113-001</w:t>
            </w:r>
          </w:p>
        </w:tc>
      </w:tr>
      <w:bookmarkStart w:id="4" w:name="Title"/>
      <w:tr w:rsidR="00754552" w:rsidRPr="00754552" w14:paraId="2A27EF3E" w14:textId="77777777" w:rsidTr="00575D1D">
        <w:tc>
          <w:tcPr>
            <w:tcW w:w="2335" w:type="dxa"/>
          </w:tcPr>
          <w:p w14:paraId="48F9BBA2" w14:textId="77777777" w:rsidR="00626509" w:rsidRPr="00754552" w:rsidRDefault="000C3298" w:rsidP="006B2F3A">
            <w:pPr>
              <w:jc w:val="right"/>
              <w:rPr>
                <w:color w:val="414042"/>
              </w:rPr>
            </w:pPr>
            <w:r w:rsidRPr="00754552">
              <w:rPr>
                <w:color w:val="414042"/>
              </w:rPr>
              <w:fldChar w:fldCharType="begin"/>
            </w:r>
            <w:r w:rsidRPr="00754552">
              <w:rPr>
                <w:color w:val="414042"/>
              </w:rPr>
              <w:instrText xml:space="preserve"> HYPERLINK  \l "Title" \o "Quality Improvement in Healthcare" </w:instrText>
            </w:r>
            <w:r w:rsidRPr="00754552">
              <w:rPr>
                <w:color w:val="414042"/>
              </w:rPr>
              <w:fldChar w:fldCharType="separate"/>
            </w:r>
            <w:r w:rsidR="00626509" w:rsidRPr="00754552">
              <w:rPr>
                <w:rStyle w:val="Hyperlink"/>
              </w:rPr>
              <w:t>Title:</w:t>
            </w:r>
            <w:bookmarkEnd w:id="4"/>
            <w:r w:rsidRPr="00754552">
              <w:rPr>
                <w:color w:val="414042"/>
              </w:rPr>
              <w:fldChar w:fldCharType="end"/>
            </w:r>
          </w:p>
        </w:tc>
        <w:tc>
          <w:tcPr>
            <w:tcW w:w="7015" w:type="dxa"/>
          </w:tcPr>
          <w:p w14:paraId="2FA00D38" w14:textId="77777777" w:rsidR="00626509" w:rsidRPr="00754552" w:rsidRDefault="00FD3703" w:rsidP="00626509">
            <w:pPr>
              <w:rPr>
                <w:color w:val="414042"/>
              </w:rPr>
            </w:pPr>
            <w:r>
              <w:rPr>
                <w:color w:val="414042"/>
              </w:rPr>
              <w:t>Postpartum/ Newborn Management</w:t>
            </w:r>
          </w:p>
        </w:tc>
      </w:tr>
      <w:bookmarkStart w:id="5" w:name="Current"/>
      <w:tr w:rsidR="00754552" w:rsidRPr="00754552" w14:paraId="74359206" w14:textId="77777777" w:rsidTr="00575D1D">
        <w:tc>
          <w:tcPr>
            <w:tcW w:w="2335" w:type="dxa"/>
          </w:tcPr>
          <w:p w14:paraId="5911E574" w14:textId="77777777" w:rsidR="007255D1" w:rsidRPr="00754552" w:rsidRDefault="000C3298" w:rsidP="006B2F3A">
            <w:pPr>
              <w:jc w:val="right"/>
              <w:rPr>
                <w:color w:val="414042"/>
              </w:rPr>
            </w:pPr>
            <w:r w:rsidRPr="00754552">
              <w:rPr>
                <w:color w:val="414042"/>
              </w:rPr>
              <w:fldChar w:fldCharType="begin"/>
            </w:r>
            <w:r w:rsidRPr="00754552">
              <w:rPr>
                <w:color w:val="414042"/>
              </w:rPr>
              <w:instrText xml:space="preserve"> HYPERLINK  \l "Current" \o "Spring 2020" </w:instrText>
            </w:r>
            <w:r w:rsidRPr="00754552">
              <w:rPr>
                <w:color w:val="414042"/>
              </w:rPr>
              <w:fldChar w:fldCharType="separate"/>
            </w:r>
            <w:r w:rsidR="007255D1" w:rsidRPr="00754552">
              <w:rPr>
                <w:rStyle w:val="Hyperlink"/>
              </w:rPr>
              <w:t>Current Semester:</w:t>
            </w:r>
            <w:bookmarkEnd w:id="5"/>
            <w:r w:rsidRPr="00754552">
              <w:rPr>
                <w:color w:val="414042"/>
              </w:rPr>
              <w:fldChar w:fldCharType="end"/>
            </w:r>
          </w:p>
        </w:tc>
        <w:tc>
          <w:tcPr>
            <w:tcW w:w="7015" w:type="dxa"/>
          </w:tcPr>
          <w:p w14:paraId="1E9C7B5E" w14:textId="3523ACEA" w:rsidR="007255D1" w:rsidRPr="00754552" w:rsidRDefault="00FD3703" w:rsidP="00626509">
            <w:pPr>
              <w:rPr>
                <w:color w:val="414042"/>
              </w:rPr>
            </w:pPr>
            <w:r>
              <w:rPr>
                <w:color w:val="414042"/>
              </w:rPr>
              <w:t>Spring 20</w:t>
            </w:r>
            <w:r w:rsidR="0040776A">
              <w:rPr>
                <w:color w:val="414042"/>
              </w:rPr>
              <w:t>20</w:t>
            </w:r>
          </w:p>
        </w:tc>
      </w:tr>
      <w:bookmarkStart w:id="6" w:name="Total"/>
      <w:tr w:rsidR="00754552" w:rsidRPr="00754552" w14:paraId="2B66AB56" w14:textId="77777777" w:rsidTr="00575D1D">
        <w:tc>
          <w:tcPr>
            <w:tcW w:w="2335" w:type="dxa"/>
          </w:tcPr>
          <w:p w14:paraId="462FD7F5" w14:textId="77777777" w:rsidR="00626509" w:rsidRPr="00754552" w:rsidRDefault="000C3298" w:rsidP="006B2F3A">
            <w:pPr>
              <w:jc w:val="right"/>
              <w:rPr>
                <w:color w:val="414042"/>
              </w:rPr>
            </w:pPr>
            <w:r w:rsidRPr="00754552">
              <w:rPr>
                <w:color w:val="414042"/>
              </w:rPr>
              <w:fldChar w:fldCharType="begin"/>
            </w:r>
            <w:r w:rsidRPr="00754552">
              <w:rPr>
                <w:color w:val="414042"/>
              </w:rPr>
              <w:instrText xml:space="preserve"> HYPERLINK  \l "Total" \o "3" </w:instrText>
            </w:r>
            <w:r w:rsidRPr="00754552">
              <w:rPr>
                <w:color w:val="414042"/>
              </w:rPr>
              <w:fldChar w:fldCharType="separate"/>
            </w:r>
            <w:r w:rsidR="00626509" w:rsidRPr="00754552">
              <w:rPr>
                <w:rStyle w:val="Hyperlink"/>
              </w:rPr>
              <w:t>Total Credits:</w:t>
            </w:r>
            <w:bookmarkEnd w:id="6"/>
            <w:r w:rsidRPr="00754552">
              <w:rPr>
                <w:color w:val="414042"/>
              </w:rPr>
              <w:fldChar w:fldCharType="end"/>
            </w:r>
          </w:p>
        </w:tc>
        <w:tc>
          <w:tcPr>
            <w:tcW w:w="7015" w:type="dxa"/>
          </w:tcPr>
          <w:p w14:paraId="347C9B82" w14:textId="77777777" w:rsidR="00626509" w:rsidRPr="00754552" w:rsidRDefault="00FD3703" w:rsidP="00626509">
            <w:pPr>
              <w:rPr>
                <w:color w:val="414042"/>
              </w:rPr>
            </w:pPr>
            <w:r>
              <w:rPr>
                <w:color w:val="414042"/>
              </w:rPr>
              <w:t>3.0</w:t>
            </w:r>
          </w:p>
        </w:tc>
      </w:tr>
      <w:bookmarkStart w:id="7" w:name="Didactic"/>
      <w:tr w:rsidR="00754552" w:rsidRPr="00754552" w14:paraId="25491B9A" w14:textId="77777777" w:rsidTr="00575D1D">
        <w:tc>
          <w:tcPr>
            <w:tcW w:w="2335" w:type="dxa"/>
          </w:tcPr>
          <w:p w14:paraId="1CC7C54E" w14:textId="77777777" w:rsidR="00626509" w:rsidRPr="00754552" w:rsidRDefault="00640A0D" w:rsidP="006B2F3A">
            <w:pPr>
              <w:jc w:val="right"/>
              <w:rPr>
                <w:color w:val="414042"/>
              </w:rPr>
            </w:pPr>
            <w:r w:rsidRPr="00754552">
              <w:rPr>
                <w:color w:val="414042"/>
              </w:rPr>
              <w:fldChar w:fldCharType="begin"/>
            </w:r>
            <w:r w:rsidRPr="00754552">
              <w:rPr>
                <w:color w:val="414042"/>
              </w:rPr>
              <w:instrText xml:space="preserve"> HYPERLINK  \l "Didactic" \o "3" </w:instrText>
            </w:r>
            <w:r w:rsidRPr="00754552">
              <w:rPr>
                <w:color w:val="414042"/>
              </w:rPr>
              <w:fldChar w:fldCharType="separate"/>
            </w:r>
            <w:r w:rsidR="00626509" w:rsidRPr="00754552">
              <w:rPr>
                <w:rStyle w:val="Hyperlink"/>
              </w:rPr>
              <w:t>Didactic Credits:</w:t>
            </w:r>
            <w:bookmarkEnd w:id="7"/>
            <w:r w:rsidRPr="00754552">
              <w:rPr>
                <w:color w:val="414042"/>
              </w:rPr>
              <w:fldChar w:fldCharType="end"/>
            </w:r>
          </w:p>
        </w:tc>
        <w:tc>
          <w:tcPr>
            <w:tcW w:w="7015" w:type="dxa"/>
          </w:tcPr>
          <w:p w14:paraId="36E90A9E" w14:textId="77777777" w:rsidR="00626509" w:rsidRPr="00754552" w:rsidRDefault="00FD3703" w:rsidP="00626509">
            <w:pPr>
              <w:rPr>
                <w:color w:val="414042"/>
              </w:rPr>
            </w:pPr>
            <w:r>
              <w:rPr>
                <w:color w:val="414042"/>
              </w:rPr>
              <w:t>3.0</w:t>
            </w:r>
          </w:p>
        </w:tc>
      </w:tr>
      <w:bookmarkStart w:id="8" w:name="Clinical"/>
      <w:tr w:rsidR="00754552" w:rsidRPr="00754552" w14:paraId="39D8ACE4" w14:textId="77777777" w:rsidTr="00575D1D">
        <w:tc>
          <w:tcPr>
            <w:tcW w:w="2335" w:type="dxa"/>
          </w:tcPr>
          <w:p w14:paraId="00B4B260" w14:textId="77777777" w:rsidR="00626509" w:rsidRPr="00754552" w:rsidRDefault="00640A0D" w:rsidP="006B2F3A">
            <w:pPr>
              <w:jc w:val="right"/>
              <w:rPr>
                <w:color w:val="414042"/>
              </w:rPr>
            </w:pPr>
            <w:r w:rsidRPr="00754552">
              <w:rPr>
                <w:color w:val="414042"/>
              </w:rPr>
              <w:fldChar w:fldCharType="begin"/>
            </w:r>
            <w:r w:rsidRPr="00754552">
              <w:rPr>
                <w:color w:val="414042"/>
              </w:rPr>
              <w:instrText xml:space="preserve"> HYPERLINK  \l "Clinical" \o "0" </w:instrText>
            </w:r>
            <w:r w:rsidRPr="00754552">
              <w:rPr>
                <w:color w:val="414042"/>
              </w:rPr>
              <w:fldChar w:fldCharType="separate"/>
            </w:r>
            <w:r w:rsidR="00626509" w:rsidRPr="00754552">
              <w:rPr>
                <w:rStyle w:val="Hyperlink"/>
              </w:rPr>
              <w:t>Clinical Credits:</w:t>
            </w:r>
            <w:bookmarkEnd w:id="8"/>
            <w:r w:rsidRPr="00754552">
              <w:rPr>
                <w:color w:val="414042"/>
              </w:rPr>
              <w:fldChar w:fldCharType="end"/>
            </w:r>
          </w:p>
        </w:tc>
        <w:tc>
          <w:tcPr>
            <w:tcW w:w="7015" w:type="dxa"/>
          </w:tcPr>
          <w:p w14:paraId="2F2BAEAB" w14:textId="77777777" w:rsidR="00626509" w:rsidRPr="00754552" w:rsidRDefault="00FD3703" w:rsidP="00626509">
            <w:pPr>
              <w:rPr>
                <w:color w:val="414042"/>
              </w:rPr>
            </w:pPr>
            <w:r>
              <w:rPr>
                <w:color w:val="414042"/>
              </w:rPr>
              <w:t>0</w:t>
            </w:r>
          </w:p>
        </w:tc>
      </w:tr>
      <w:bookmarkStart w:id="9" w:name="Terms"/>
      <w:tr w:rsidR="00754552" w:rsidRPr="00754552" w14:paraId="68A3F13E" w14:textId="77777777" w:rsidTr="00575D1D">
        <w:tc>
          <w:tcPr>
            <w:tcW w:w="2335" w:type="dxa"/>
          </w:tcPr>
          <w:p w14:paraId="486D72D8" w14:textId="77777777" w:rsidR="00626509" w:rsidRPr="00754552" w:rsidRDefault="00640A0D" w:rsidP="006B2F3A">
            <w:pPr>
              <w:jc w:val="right"/>
              <w:rPr>
                <w:color w:val="414042"/>
              </w:rPr>
            </w:pPr>
            <w:r w:rsidRPr="00754552">
              <w:rPr>
                <w:color w:val="414042"/>
              </w:rPr>
              <w:fldChar w:fldCharType="begin"/>
            </w:r>
            <w:r w:rsidRPr="00754552">
              <w:rPr>
                <w:color w:val="414042"/>
              </w:rPr>
              <w:instrText xml:space="preserve"> HYPERLINK  \l "Terms" \o "Spring, Fall" </w:instrText>
            </w:r>
            <w:r w:rsidRPr="00754552">
              <w:rPr>
                <w:color w:val="414042"/>
              </w:rPr>
              <w:fldChar w:fldCharType="separate"/>
            </w:r>
            <w:r w:rsidR="00626509" w:rsidRPr="00754552">
              <w:rPr>
                <w:rStyle w:val="Hyperlink"/>
              </w:rPr>
              <w:t>Academic Terms Offered:</w:t>
            </w:r>
            <w:bookmarkEnd w:id="9"/>
            <w:r w:rsidRPr="00754552">
              <w:rPr>
                <w:color w:val="414042"/>
              </w:rPr>
              <w:fldChar w:fldCharType="end"/>
            </w:r>
          </w:p>
        </w:tc>
        <w:tc>
          <w:tcPr>
            <w:tcW w:w="7015" w:type="dxa"/>
          </w:tcPr>
          <w:p w14:paraId="29DB99B1" w14:textId="1C6D424C" w:rsidR="00626509" w:rsidRPr="00754552" w:rsidRDefault="00FD3703" w:rsidP="00626509">
            <w:pPr>
              <w:rPr>
                <w:color w:val="414042"/>
              </w:rPr>
            </w:pPr>
            <w:r>
              <w:rPr>
                <w:color w:val="414042"/>
              </w:rPr>
              <w:t>Spring 20</w:t>
            </w:r>
            <w:r w:rsidR="0040776A">
              <w:rPr>
                <w:color w:val="414042"/>
              </w:rPr>
              <w:t>20</w:t>
            </w:r>
          </w:p>
        </w:tc>
      </w:tr>
      <w:bookmarkStart w:id="10" w:name="Faculty"/>
      <w:tr w:rsidR="00626509" w:rsidRPr="00754552" w14:paraId="21252A17" w14:textId="77777777" w:rsidTr="00575D1D">
        <w:tc>
          <w:tcPr>
            <w:tcW w:w="2335" w:type="dxa"/>
          </w:tcPr>
          <w:p w14:paraId="746ABE79" w14:textId="77777777" w:rsidR="00626509" w:rsidRPr="00754552" w:rsidRDefault="00640A0D" w:rsidP="006B2F3A">
            <w:pPr>
              <w:jc w:val="right"/>
              <w:rPr>
                <w:color w:val="414042"/>
              </w:rPr>
            </w:pPr>
            <w:r w:rsidRPr="00754552">
              <w:rPr>
                <w:color w:val="414042"/>
              </w:rPr>
              <w:fldChar w:fldCharType="begin"/>
            </w:r>
            <w:r w:rsidRPr="00754552">
              <w:rPr>
                <w:color w:val="414042"/>
              </w:rPr>
              <w:instrText xml:space="preserve"> HYPERLINK  \l "Faculty" \o "Linda C. Hofmann, PhD, RN, NEA-BC, NE-BC" </w:instrText>
            </w:r>
            <w:r w:rsidRPr="00754552">
              <w:rPr>
                <w:color w:val="414042"/>
              </w:rPr>
              <w:fldChar w:fldCharType="separate"/>
            </w:r>
            <w:r w:rsidR="00626509" w:rsidRPr="00754552">
              <w:rPr>
                <w:rStyle w:val="Hyperlink"/>
              </w:rPr>
              <w:t>Faculty:</w:t>
            </w:r>
            <w:bookmarkEnd w:id="10"/>
            <w:r w:rsidRPr="00754552">
              <w:rPr>
                <w:color w:val="414042"/>
              </w:rPr>
              <w:fldChar w:fldCharType="end"/>
            </w:r>
          </w:p>
        </w:tc>
        <w:tc>
          <w:tcPr>
            <w:tcW w:w="7015" w:type="dxa"/>
          </w:tcPr>
          <w:p w14:paraId="3E1A17D3" w14:textId="77777777" w:rsidR="006122B0" w:rsidRDefault="00FD3703" w:rsidP="00626509">
            <w:pPr>
              <w:rPr>
                <w:color w:val="414042"/>
              </w:rPr>
            </w:pPr>
            <w:r>
              <w:rPr>
                <w:color w:val="414042"/>
              </w:rPr>
              <w:t>Erin Johnson Cole, DNP, CNM, WHNP-BC</w:t>
            </w:r>
          </w:p>
          <w:p w14:paraId="0A10DAD7" w14:textId="77777777" w:rsidR="00FD3703" w:rsidRDefault="00FD3703" w:rsidP="00626509">
            <w:pPr>
              <w:rPr>
                <w:color w:val="414042"/>
              </w:rPr>
            </w:pPr>
            <w:r>
              <w:rPr>
                <w:color w:val="414042"/>
              </w:rPr>
              <w:t xml:space="preserve">Email: </w:t>
            </w:r>
            <w:hyperlink r:id="rId9" w:history="1">
              <w:r w:rsidRPr="009B11EA">
                <w:rPr>
                  <w:rStyle w:val="Hyperlink"/>
                </w:rPr>
                <w:t>erin.cole@nurs.utah.edu</w:t>
              </w:r>
            </w:hyperlink>
          </w:p>
          <w:p w14:paraId="79094F3D" w14:textId="77777777" w:rsidR="00FD3703" w:rsidRDefault="00FD3703" w:rsidP="00FD3703">
            <w:pPr>
              <w:rPr>
                <w:color w:val="414042"/>
              </w:rPr>
            </w:pPr>
            <w:r>
              <w:rPr>
                <w:color w:val="414042"/>
              </w:rPr>
              <w:t xml:space="preserve">Phone: 801-520-3662 </w:t>
            </w:r>
            <w:r w:rsidR="00BF31D7">
              <w:rPr>
                <w:color w:val="414042"/>
              </w:rPr>
              <w:t>(cell)</w:t>
            </w:r>
          </w:p>
          <w:p w14:paraId="43A80DC5" w14:textId="36548262" w:rsidR="00BF31D7" w:rsidRPr="00754552" w:rsidRDefault="00BF31D7" w:rsidP="00FD3703">
            <w:pPr>
              <w:rPr>
                <w:color w:val="414042"/>
              </w:rPr>
            </w:pPr>
            <w:r>
              <w:rPr>
                <w:color w:val="414042"/>
              </w:rPr>
              <w:t>Office: CON 3505. Office</w:t>
            </w:r>
            <w:r w:rsidR="000F71C1">
              <w:rPr>
                <w:color w:val="414042"/>
              </w:rPr>
              <w:t xml:space="preserve"> hours arranged </w:t>
            </w:r>
            <w:proofErr w:type="spellStart"/>
            <w:r w:rsidR="000F71C1">
              <w:rPr>
                <w:color w:val="414042"/>
              </w:rPr>
              <w:t>prn</w:t>
            </w:r>
            <w:proofErr w:type="spellEnd"/>
            <w:r w:rsidR="000F71C1">
              <w:rPr>
                <w:color w:val="414042"/>
              </w:rPr>
              <w:t>.</w:t>
            </w:r>
            <w:r>
              <w:rPr>
                <w:color w:val="414042"/>
              </w:rPr>
              <w:t xml:space="preserve"> </w:t>
            </w:r>
          </w:p>
        </w:tc>
      </w:tr>
    </w:tbl>
    <w:p w14:paraId="29CC80EF" w14:textId="77777777" w:rsidR="008A1097" w:rsidRPr="00754552" w:rsidRDefault="008A1097" w:rsidP="00626509">
      <w:pPr>
        <w:rPr>
          <w:color w:val="414042"/>
        </w:rPr>
      </w:pPr>
    </w:p>
    <w:bookmarkStart w:id="11" w:name="_Course_Description:"/>
    <w:bookmarkEnd w:id="11"/>
    <w:p w14:paraId="7F09E57B" w14:textId="282FA591" w:rsidR="00C22BF0" w:rsidRPr="00C22BF0" w:rsidRDefault="00EC3ACA" w:rsidP="00217137">
      <w:pPr>
        <w:pStyle w:val="Heading3"/>
      </w:pPr>
      <w:r>
        <w:fldChar w:fldCharType="begin"/>
      </w:r>
      <w:r>
        <w:instrText xml:space="preserve"> HYPERLINK  \l "_Course_Description:" \o "This should match the U of U catalog course description and is set by the Curriulum Committee." </w:instrText>
      </w:r>
      <w:r>
        <w:fldChar w:fldCharType="separate"/>
      </w:r>
      <w:r w:rsidR="003F2022" w:rsidRPr="00EC3ACA">
        <w:rPr>
          <w:rStyle w:val="Hyperlink"/>
        </w:rPr>
        <w:t>Course Description:</w:t>
      </w:r>
      <w:r>
        <w:fldChar w:fldCharType="end"/>
      </w:r>
    </w:p>
    <w:p w14:paraId="39B59EB0" w14:textId="77777777" w:rsidR="00A41F66" w:rsidRPr="00FD3703" w:rsidRDefault="00FD3703" w:rsidP="00FD3703">
      <w:pPr>
        <w:spacing w:after="120"/>
        <w:rPr>
          <w:rFonts w:cs="Times New Roman"/>
          <w:sz w:val="20"/>
          <w:szCs w:val="20"/>
        </w:rPr>
      </w:pPr>
      <w:r w:rsidRPr="00FD3703">
        <w:rPr>
          <w:rFonts w:cs="Times New Roman"/>
          <w:sz w:val="20"/>
          <w:szCs w:val="20"/>
        </w:rPr>
        <w:t xml:space="preserve">Development of advanced knowledge of management principles and use of appropriate advanced nursing measures based on anatomical, physiological, and psychosocial changes that occur during both normal and complicated postpartum and newborn periods, and the uncomplicated infant to the age of one month. </w:t>
      </w:r>
    </w:p>
    <w:bookmarkStart w:id="12" w:name="Objectives"/>
    <w:p w14:paraId="1172EEBA" w14:textId="46EF7854" w:rsidR="00C22BF0" w:rsidRPr="00C22BF0" w:rsidRDefault="0003167E" w:rsidP="00217137">
      <w:pPr>
        <w:pStyle w:val="Heading3"/>
      </w:pPr>
      <w:r w:rsidRPr="0003167E">
        <w:fldChar w:fldCharType="begin"/>
      </w:r>
      <w:r w:rsidRPr="0003167E">
        <w:instrText xml:space="preserve"> HYPERLINK  \l "Objectives" \o "Course objectives are set by the appropriate curriculum committee and can not be changed by individual instructors." </w:instrText>
      </w:r>
      <w:r w:rsidRPr="0003167E">
        <w:fldChar w:fldCharType="separate"/>
      </w:r>
      <w:r w:rsidR="003F2022" w:rsidRPr="0003167E">
        <w:rPr>
          <w:rStyle w:val="Hyperlink"/>
        </w:rPr>
        <w:t>Course Objectives:</w:t>
      </w:r>
      <w:r w:rsidRPr="0003167E">
        <w:fldChar w:fldCharType="end"/>
      </w:r>
    </w:p>
    <w:bookmarkEnd w:id="12"/>
    <w:p w14:paraId="013D19AF" w14:textId="77777777" w:rsidR="00FD3703" w:rsidRPr="008131EB" w:rsidRDefault="00FD3703" w:rsidP="008131EB">
      <w:pPr>
        <w:pStyle w:val="ListParagraph"/>
        <w:numPr>
          <w:ilvl w:val="0"/>
          <w:numId w:val="16"/>
        </w:numPr>
        <w:rPr>
          <w:color w:val="auto"/>
          <w:sz w:val="20"/>
          <w:szCs w:val="20"/>
        </w:rPr>
      </w:pPr>
      <w:r w:rsidRPr="008131EB">
        <w:rPr>
          <w:color w:val="auto"/>
          <w:sz w:val="20"/>
          <w:szCs w:val="20"/>
        </w:rPr>
        <w:t>Integrate principles and theory underlying advanced nursing management of the postpartum period.</w:t>
      </w:r>
    </w:p>
    <w:p w14:paraId="200F0653" w14:textId="77777777" w:rsidR="00FD3703" w:rsidRPr="008131EB" w:rsidRDefault="00FD3703" w:rsidP="008131EB">
      <w:pPr>
        <w:pStyle w:val="ListParagraph"/>
        <w:numPr>
          <w:ilvl w:val="0"/>
          <w:numId w:val="16"/>
        </w:numPr>
        <w:rPr>
          <w:color w:val="auto"/>
          <w:sz w:val="20"/>
          <w:szCs w:val="20"/>
        </w:rPr>
      </w:pPr>
      <w:r w:rsidRPr="008131EB">
        <w:rPr>
          <w:color w:val="auto"/>
          <w:sz w:val="20"/>
          <w:szCs w:val="20"/>
        </w:rPr>
        <w:t>Evaluate expected patterns and norms of anatomical, physiological, and psychosocial development during the postpartum period.</w:t>
      </w:r>
    </w:p>
    <w:p w14:paraId="7B725705" w14:textId="77777777" w:rsidR="00FD3703" w:rsidRPr="008131EB" w:rsidRDefault="00FD3703" w:rsidP="008131EB">
      <w:pPr>
        <w:pStyle w:val="ListParagraph"/>
        <w:numPr>
          <w:ilvl w:val="0"/>
          <w:numId w:val="16"/>
        </w:numPr>
        <w:rPr>
          <w:color w:val="auto"/>
          <w:sz w:val="20"/>
          <w:szCs w:val="20"/>
        </w:rPr>
      </w:pPr>
      <w:r w:rsidRPr="008131EB">
        <w:rPr>
          <w:color w:val="auto"/>
          <w:sz w:val="20"/>
          <w:szCs w:val="20"/>
        </w:rPr>
        <w:t>Use a systematic process for analyzing and interpreting clinical data for postpartum management.</w:t>
      </w:r>
    </w:p>
    <w:p w14:paraId="6C816159" w14:textId="77777777" w:rsidR="00FD3703" w:rsidRPr="008131EB" w:rsidRDefault="00FD3703" w:rsidP="008131EB">
      <w:pPr>
        <w:pStyle w:val="ListParagraph"/>
        <w:numPr>
          <w:ilvl w:val="0"/>
          <w:numId w:val="16"/>
        </w:numPr>
        <w:rPr>
          <w:color w:val="auto"/>
          <w:sz w:val="20"/>
          <w:szCs w:val="20"/>
        </w:rPr>
      </w:pPr>
      <w:r w:rsidRPr="008131EB">
        <w:rPr>
          <w:color w:val="auto"/>
          <w:sz w:val="20"/>
          <w:szCs w:val="20"/>
        </w:rPr>
        <w:t>Conduct systematic screening for deviations from expected patterns and norms of anatomical, physiological, and psychosocial development during the postpartum period.</w:t>
      </w:r>
    </w:p>
    <w:p w14:paraId="3A808599" w14:textId="77777777" w:rsidR="00FD3703" w:rsidRPr="008131EB" w:rsidRDefault="00FD3703" w:rsidP="008131EB">
      <w:pPr>
        <w:pStyle w:val="ListParagraph"/>
        <w:numPr>
          <w:ilvl w:val="0"/>
          <w:numId w:val="16"/>
        </w:numPr>
        <w:rPr>
          <w:color w:val="auto"/>
          <w:sz w:val="20"/>
          <w:szCs w:val="20"/>
        </w:rPr>
      </w:pPr>
      <w:r w:rsidRPr="008131EB">
        <w:rPr>
          <w:color w:val="auto"/>
          <w:sz w:val="20"/>
          <w:szCs w:val="20"/>
        </w:rPr>
        <w:t>Use principles of family integration and parental/infant attachment during the postpartum period and first year of life.</w:t>
      </w:r>
    </w:p>
    <w:p w14:paraId="6F921891" w14:textId="77777777" w:rsidR="00FD3703" w:rsidRPr="008131EB" w:rsidRDefault="00FD3703" w:rsidP="008131EB">
      <w:pPr>
        <w:pStyle w:val="ListParagraph"/>
        <w:numPr>
          <w:ilvl w:val="0"/>
          <w:numId w:val="16"/>
        </w:numPr>
        <w:rPr>
          <w:color w:val="auto"/>
          <w:sz w:val="20"/>
          <w:szCs w:val="20"/>
        </w:rPr>
      </w:pPr>
      <w:r w:rsidRPr="008131EB">
        <w:rPr>
          <w:color w:val="auto"/>
          <w:sz w:val="20"/>
          <w:szCs w:val="20"/>
        </w:rPr>
        <w:lastRenderedPageBreak/>
        <w:t>Evaluate the physiologic, neurologic, and behavioral adjustment of the neonate to extra</w:t>
      </w:r>
      <w:r w:rsidR="008131EB">
        <w:rPr>
          <w:color w:val="auto"/>
          <w:sz w:val="20"/>
          <w:szCs w:val="20"/>
        </w:rPr>
        <w:t>-</w:t>
      </w:r>
      <w:r w:rsidRPr="008131EB">
        <w:rPr>
          <w:color w:val="auto"/>
          <w:sz w:val="20"/>
          <w:szCs w:val="20"/>
        </w:rPr>
        <w:t>uterine life.</w:t>
      </w:r>
    </w:p>
    <w:p w14:paraId="52C578A6" w14:textId="77777777" w:rsidR="00FD3703" w:rsidRPr="008131EB" w:rsidRDefault="00FD3703" w:rsidP="008131EB">
      <w:pPr>
        <w:pStyle w:val="ListParagraph"/>
        <w:numPr>
          <w:ilvl w:val="0"/>
          <w:numId w:val="16"/>
        </w:numPr>
        <w:rPr>
          <w:color w:val="auto"/>
          <w:sz w:val="20"/>
          <w:szCs w:val="20"/>
        </w:rPr>
      </w:pPr>
      <w:r w:rsidRPr="008131EB">
        <w:rPr>
          <w:color w:val="auto"/>
          <w:sz w:val="20"/>
          <w:szCs w:val="20"/>
        </w:rPr>
        <w:t>Determine fluid and caloric requirements of the newborn infant.</w:t>
      </w:r>
    </w:p>
    <w:p w14:paraId="7CB24973" w14:textId="77777777" w:rsidR="00FD3703" w:rsidRPr="008131EB" w:rsidRDefault="00FD3703" w:rsidP="008131EB">
      <w:pPr>
        <w:pStyle w:val="ListParagraph"/>
        <w:numPr>
          <w:ilvl w:val="0"/>
          <w:numId w:val="16"/>
        </w:numPr>
        <w:rPr>
          <w:color w:val="auto"/>
          <w:sz w:val="20"/>
          <w:szCs w:val="20"/>
        </w:rPr>
      </w:pPr>
      <w:r w:rsidRPr="008131EB">
        <w:rPr>
          <w:color w:val="auto"/>
          <w:sz w:val="20"/>
          <w:szCs w:val="20"/>
        </w:rPr>
        <w:t>Conduct systematic screening for deviations from expected newborn patterns and norms of anatomical, physiological, and neurological development of the neonate.</w:t>
      </w:r>
    </w:p>
    <w:p w14:paraId="5EB8B61D" w14:textId="77777777" w:rsidR="00FD3703" w:rsidRPr="008131EB" w:rsidRDefault="00FD3703" w:rsidP="008131EB">
      <w:pPr>
        <w:pStyle w:val="ListParagraph"/>
        <w:numPr>
          <w:ilvl w:val="0"/>
          <w:numId w:val="16"/>
        </w:numPr>
        <w:rPr>
          <w:color w:val="auto"/>
          <w:sz w:val="20"/>
          <w:szCs w:val="20"/>
        </w:rPr>
      </w:pPr>
      <w:r w:rsidRPr="008131EB">
        <w:rPr>
          <w:color w:val="auto"/>
          <w:sz w:val="20"/>
          <w:szCs w:val="20"/>
        </w:rPr>
        <w:t>Integrate principles and theory underlying management of the newborn to one month of age.</w:t>
      </w:r>
    </w:p>
    <w:p w14:paraId="6F2F61C1" w14:textId="77777777" w:rsidR="00A41F66" w:rsidRPr="008131EB" w:rsidRDefault="00FD3703" w:rsidP="008131EB">
      <w:pPr>
        <w:pStyle w:val="ListParagraph"/>
        <w:numPr>
          <w:ilvl w:val="0"/>
          <w:numId w:val="16"/>
        </w:numPr>
        <w:rPr>
          <w:color w:val="auto"/>
          <w:sz w:val="20"/>
          <w:szCs w:val="20"/>
        </w:rPr>
      </w:pPr>
      <w:r w:rsidRPr="008131EB">
        <w:rPr>
          <w:color w:val="auto"/>
          <w:sz w:val="20"/>
          <w:szCs w:val="20"/>
        </w:rPr>
        <w:t>Conduct newborn resuscitation immediately after birth and newborn stabilization as appropriate.</w:t>
      </w:r>
    </w:p>
    <w:bookmarkStart w:id="13" w:name="Methods"/>
    <w:p w14:paraId="57C17F08" w14:textId="507ED391" w:rsidR="00C22BF0" w:rsidRPr="00C22BF0" w:rsidRDefault="008560C5" w:rsidP="00217137">
      <w:pPr>
        <w:pStyle w:val="Heading3"/>
      </w:pPr>
      <w:r w:rsidRPr="00217137">
        <w:fldChar w:fldCharType="begin"/>
      </w:r>
      <w:r w:rsidRPr="00217137">
        <w:instrText xml:space="preserve"> HYPERLINK  \l "Methods" \o "Content is presented from a variety of sources, including textbook chapters, journal articles, PowerPoint lectures, and videos.   This course is based on a philosophy of self-directed learning and is delivered in an asynchronous format." </w:instrText>
      </w:r>
      <w:r w:rsidRPr="00217137">
        <w:fldChar w:fldCharType="separate"/>
      </w:r>
      <w:r w:rsidR="007D565A" w:rsidRPr="00217137">
        <w:rPr>
          <w:rStyle w:val="Hyperlink"/>
        </w:rPr>
        <w:t>Teaching Methods:</w:t>
      </w:r>
      <w:bookmarkEnd w:id="13"/>
      <w:r w:rsidRPr="00217137">
        <w:fldChar w:fldCharType="end"/>
      </w:r>
    </w:p>
    <w:p w14:paraId="35333C42" w14:textId="653BAF65" w:rsidR="009405B1" w:rsidRPr="008D65C6" w:rsidRDefault="008D65C6" w:rsidP="009405B1">
      <w:pPr>
        <w:rPr>
          <w:sz w:val="20"/>
          <w:szCs w:val="20"/>
        </w:rPr>
      </w:pPr>
      <w:r>
        <w:rPr>
          <w:rFonts w:cs="Times New Roman"/>
          <w:sz w:val="20"/>
          <w:szCs w:val="20"/>
        </w:rPr>
        <w:t>Course teaching methods include</w:t>
      </w:r>
      <w:r w:rsidR="007D1F4B">
        <w:rPr>
          <w:rFonts w:cs="Times New Roman"/>
          <w:sz w:val="20"/>
          <w:szCs w:val="20"/>
        </w:rPr>
        <w:t xml:space="preserve"> lecture, </w:t>
      </w:r>
      <w:r w:rsidR="008131EB" w:rsidRPr="008131EB">
        <w:rPr>
          <w:rFonts w:cs="Times New Roman"/>
          <w:sz w:val="20"/>
          <w:szCs w:val="20"/>
        </w:rPr>
        <w:t>discussion</w:t>
      </w:r>
      <w:r w:rsidR="007D1F4B">
        <w:rPr>
          <w:rFonts w:cs="Times New Roman"/>
          <w:sz w:val="20"/>
          <w:szCs w:val="20"/>
        </w:rPr>
        <w:t xml:space="preserve">, demonstration, simulation or </w:t>
      </w:r>
      <w:proofErr w:type="gramStart"/>
      <w:r w:rsidR="007D1F4B">
        <w:rPr>
          <w:rFonts w:cs="Times New Roman"/>
          <w:sz w:val="20"/>
          <w:szCs w:val="20"/>
        </w:rPr>
        <w:t>role plays</w:t>
      </w:r>
      <w:proofErr w:type="gramEnd"/>
      <w:r w:rsidR="007D1F4B">
        <w:rPr>
          <w:rFonts w:cs="Times New Roman"/>
          <w:sz w:val="20"/>
          <w:szCs w:val="20"/>
        </w:rPr>
        <w:t>, case presentations,</w:t>
      </w:r>
      <w:r w:rsidR="008131EB" w:rsidRPr="008131EB">
        <w:rPr>
          <w:rFonts w:cs="Times New Roman"/>
          <w:sz w:val="20"/>
          <w:szCs w:val="20"/>
        </w:rPr>
        <w:t xml:space="preserve"> </w:t>
      </w:r>
      <w:r w:rsidR="0019122D">
        <w:rPr>
          <w:rFonts w:cs="Times New Roman"/>
          <w:sz w:val="20"/>
          <w:szCs w:val="20"/>
        </w:rPr>
        <w:t xml:space="preserve">games, written reflections, </w:t>
      </w:r>
      <w:r w:rsidR="008131EB" w:rsidRPr="008131EB">
        <w:rPr>
          <w:rFonts w:cs="Times New Roman"/>
          <w:sz w:val="20"/>
          <w:szCs w:val="20"/>
        </w:rPr>
        <w:t>and a systemat</w:t>
      </w:r>
      <w:r>
        <w:rPr>
          <w:rFonts w:cs="Times New Roman"/>
          <w:sz w:val="20"/>
          <w:szCs w:val="20"/>
        </w:rPr>
        <w:t>ic approach to problem solving,</w:t>
      </w:r>
      <w:r w:rsidR="008131EB" w:rsidRPr="008131EB">
        <w:rPr>
          <w:rFonts w:cs="Times New Roman"/>
          <w:sz w:val="20"/>
          <w:szCs w:val="20"/>
        </w:rPr>
        <w:t xml:space="preserve"> evaluation</w:t>
      </w:r>
      <w:r>
        <w:rPr>
          <w:rFonts w:cs="Times New Roman"/>
          <w:sz w:val="20"/>
          <w:szCs w:val="20"/>
        </w:rPr>
        <w:t xml:space="preserve">, and </w:t>
      </w:r>
      <w:r w:rsidRPr="008131EB">
        <w:rPr>
          <w:rFonts w:cs="Times New Roman"/>
          <w:sz w:val="20"/>
          <w:szCs w:val="20"/>
        </w:rPr>
        <w:t>management</w:t>
      </w:r>
      <w:r w:rsidR="008131EB" w:rsidRPr="008131EB">
        <w:rPr>
          <w:rFonts w:cs="Times New Roman"/>
          <w:sz w:val="20"/>
          <w:szCs w:val="20"/>
        </w:rPr>
        <w:t xml:space="preserve">. </w:t>
      </w:r>
      <w:r w:rsidR="008131EB" w:rsidRPr="00707770">
        <w:rPr>
          <w:rFonts w:cs="Times New Roman"/>
          <w:sz w:val="20"/>
          <w:szCs w:val="20"/>
        </w:rPr>
        <w:t>Learning activities</w:t>
      </w:r>
      <w:r w:rsidR="008131EB" w:rsidRPr="008131EB">
        <w:rPr>
          <w:rFonts w:cs="Times New Roman"/>
          <w:sz w:val="20"/>
          <w:szCs w:val="20"/>
        </w:rPr>
        <w:t xml:space="preserve"> may include class reading and video assignments, completion of </w:t>
      </w:r>
      <w:r w:rsidR="00DE7648">
        <w:rPr>
          <w:rFonts w:cs="Times New Roman"/>
          <w:sz w:val="20"/>
          <w:szCs w:val="20"/>
        </w:rPr>
        <w:t>weekly pre- and post-class quizzes</w:t>
      </w:r>
      <w:r w:rsidR="00C108DE">
        <w:rPr>
          <w:rFonts w:cs="Times New Roman"/>
          <w:sz w:val="20"/>
          <w:szCs w:val="20"/>
        </w:rPr>
        <w:t>, class presentation</w:t>
      </w:r>
      <w:r w:rsidR="00707770">
        <w:rPr>
          <w:rFonts w:cs="Times New Roman"/>
          <w:sz w:val="20"/>
          <w:szCs w:val="20"/>
        </w:rPr>
        <w:t>s</w:t>
      </w:r>
      <w:r w:rsidR="00DE7648">
        <w:rPr>
          <w:rFonts w:cs="Times New Roman"/>
          <w:sz w:val="20"/>
          <w:szCs w:val="20"/>
        </w:rPr>
        <w:t xml:space="preserve">, a maternal and newborn discomfort chart, </w:t>
      </w:r>
      <w:r w:rsidR="0019122D">
        <w:rPr>
          <w:rFonts w:cs="Times New Roman"/>
          <w:sz w:val="20"/>
          <w:szCs w:val="20"/>
        </w:rPr>
        <w:t xml:space="preserve">and </w:t>
      </w:r>
      <w:r w:rsidR="00707770">
        <w:rPr>
          <w:rFonts w:cs="Times New Roman"/>
          <w:sz w:val="20"/>
          <w:szCs w:val="20"/>
        </w:rPr>
        <w:t xml:space="preserve">reading </w:t>
      </w:r>
      <w:r w:rsidR="00DE7648">
        <w:rPr>
          <w:rFonts w:cs="Times New Roman"/>
          <w:sz w:val="20"/>
          <w:szCs w:val="20"/>
        </w:rPr>
        <w:t>reviews</w:t>
      </w:r>
      <w:r w:rsidR="008131EB" w:rsidRPr="008131EB">
        <w:rPr>
          <w:rFonts w:cs="Times New Roman"/>
          <w:sz w:val="20"/>
          <w:szCs w:val="20"/>
        </w:rPr>
        <w:t>.</w:t>
      </w:r>
    </w:p>
    <w:bookmarkStart w:id="14" w:name="Evaluation"/>
    <w:p w14:paraId="2FB52095" w14:textId="2C873A64" w:rsidR="00EC78A0" w:rsidRPr="00EC78A0" w:rsidRDefault="008560C5" w:rsidP="00217137">
      <w:pPr>
        <w:pStyle w:val="Heading3"/>
      </w:pPr>
      <w:r w:rsidRPr="00217137">
        <w:fldChar w:fldCharType="begin"/>
      </w:r>
      <w:r w:rsidRPr="00217137">
        <w:instrText xml:space="preserve"> HYPERLINK  \l "Evaluation" \o "Evaluation includes the quality and depth of participation in discussions, assigned exercises, and written assignments. " </w:instrText>
      </w:r>
      <w:r w:rsidRPr="00217137">
        <w:fldChar w:fldCharType="separate"/>
      </w:r>
      <w:r w:rsidR="00413877" w:rsidRPr="00217137">
        <w:rPr>
          <w:rStyle w:val="Hyperlink"/>
        </w:rPr>
        <w:t>Evaluation:</w:t>
      </w:r>
      <w:bookmarkEnd w:id="14"/>
      <w:r w:rsidRPr="00217137">
        <w:fldChar w:fldCharType="end"/>
      </w:r>
    </w:p>
    <w:p w14:paraId="52AFB431" w14:textId="1ED97A98" w:rsidR="00D74159" w:rsidRPr="00AB4D4A" w:rsidRDefault="006A6BB0" w:rsidP="00962DAA">
      <w:pPr>
        <w:pStyle w:val="ListParagraph"/>
        <w:numPr>
          <w:ilvl w:val="0"/>
          <w:numId w:val="26"/>
        </w:numPr>
        <w:rPr>
          <w:sz w:val="20"/>
          <w:szCs w:val="20"/>
        </w:rPr>
      </w:pPr>
      <w:r w:rsidRPr="00AB4D4A">
        <w:rPr>
          <w:sz w:val="20"/>
          <w:szCs w:val="20"/>
        </w:rPr>
        <w:t>3</w:t>
      </w:r>
      <w:r w:rsidR="00D74159" w:rsidRPr="00AB4D4A">
        <w:rPr>
          <w:sz w:val="20"/>
          <w:szCs w:val="20"/>
        </w:rPr>
        <w:t xml:space="preserve"> In-class </w:t>
      </w:r>
      <w:r w:rsidRPr="00AB4D4A">
        <w:rPr>
          <w:sz w:val="20"/>
          <w:szCs w:val="20"/>
        </w:rPr>
        <w:t xml:space="preserve">1-hour </w:t>
      </w:r>
      <w:r w:rsidR="00D74159" w:rsidRPr="00AB4D4A">
        <w:rPr>
          <w:sz w:val="20"/>
          <w:szCs w:val="20"/>
        </w:rPr>
        <w:t xml:space="preserve">Exams: </w:t>
      </w:r>
      <w:r w:rsidR="00DE7648">
        <w:rPr>
          <w:sz w:val="20"/>
          <w:szCs w:val="20"/>
        </w:rPr>
        <w:t>3</w:t>
      </w:r>
      <w:r w:rsidR="002311A4">
        <w:rPr>
          <w:sz w:val="20"/>
          <w:szCs w:val="20"/>
        </w:rPr>
        <w:t>0</w:t>
      </w:r>
      <w:r w:rsidR="00591964" w:rsidRPr="00AB4D4A">
        <w:rPr>
          <w:sz w:val="20"/>
          <w:szCs w:val="20"/>
        </w:rPr>
        <w:t>%</w:t>
      </w:r>
    </w:p>
    <w:p w14:paraId="39A0A141" w14:textId="09246DA1" w:rsidR="006A6BB0" w:rsidRDefault="00C43AAE" w:rsidP="00962DAA">
      <w:pPr>
        <w:pStyle w:val="ListParagraph"/>
        <w:numPr>
          <w:ilvl w:val="0"/>
          <w:numId w:val="26"/>
        </w:numPr>
        <w:rPr>
          <w:sz w:val="20"/>
          <w:szCs w:val="20"/>
        </w:rPr>
      </w:pPr>
      <w:r>
        <w:rPr>
          <w:sz w:val="20"/>
          <w:szCs w:val="20"/>
        </w:rPr>
        <w:t>Cumulative 2-</w:t>
      </w:r>
      <w:r w:rsidR="006A6BB0" w:rsidRPr="00AB4D4A">
        <w:rPr>
          <w:sz w:val="20"/>
          <w:szCs w:val="20"/>
        </w:rPr>
        <w:t>hour Final Exam: 20%</w:t>
      </w:r>
    </w:p>
    <w:p w14:paraId="054CD370" w14:textId="1D0AE642" w:rsidR="002311A4" w:rsidRDefault="00DE7648" w:rsidP="00962DAA">
      <w:pPr>
        <w:pStyle w:val="ListParagraph"/>
        <w:numPr>
          <w:ilvl w:val="0"/>
          <w:numId w:val="26"/>
        </w:numPr>
        <w:rPr>
          <w:sz w:val="20"/>
          <w:szCs w:val="20"/>
        </w:rPr>
      </w:pPr>
      <w:r>
        <w:rPr>
          <w:sz w:val="20"/>
          <w:szCs w:val="20"/>
        </w:rPr>
        <w:t>Weekly Quizzes: 10</w:t>
      </w:r>
      <w:r w:rsidR="002311A4">
        <w:rPr>
          <w:sz w:val="20"/>
          <w:szCs w:val="20"/>
        </w:rPr>
        <w:t>%</w:t>
      </w:r>
    </w:p>
    <w:p w14:paraId="62571234" w14:textId="4269CA2C" w:rsidR="00374BEB" w:rsidRPr="002311A4" w:rsidRDefault="00AD2FCA" w:rsidP="002311A4">
      <w:pPr>
        <w:pStyle w:val="ListParagraph"/>
        <w:numPr>
          <w:ilvl w:val="0"/>
          <w:numId w:val="26"/>
        </w:numPr>
        <w:rPr>
          <w:sz w:val="20"/>
          <w:szCs w:val="20"/>
        </w:rPr>
      </w:pPr>
      <w:r w:rsidRPr="002311A4">
        <w:rPr>
          <w:sz w:val="20"/>
          <w:szCs w:val="20"/>
        </w:rPr>
        <w:t xml:space="preserve">Complications </w:t>
      </w:r>
      <w:r w:rsidR="00EC78A0" w:rsidRPr="002311A4">
        <w:rPr>
          <w:sz w:val="20"/>
          <w:szCs w:val="20"/>
        </w:rPr>
        <w:t>SOAP Note Presentations</w:t>
      </w:r>
      <w:r w:rsidR="00591964" w:rsidRPr="002311A4">
        <w:rPr>
          <w:sz w:val="20"/>
          <w:szCs w:val="20"/>
        </w:rPr>
        <w:t xml:space="preserve"> x 2</w:t>
      </w:r>
      <w:r w:rsidR="00DE7648">
        <w:rPr>
          <w:sz w:val="20"/>
          <w:szCs w:val="20"/>
        </w:rPr>
        <w:t>: 15</w:t>
      </w:r>
      <w:r w:rsidR="00EC78A0" w:rsidRPr="002311A4">
        <w:rPr>
          <w:sz w:val="20"/>
          <w:szCs w:val="20"/>
        </w:rPr>
        <w:t>%</w:t>
      </w:r>
    </w:p>
    <w:p w14:paraId="41623BB1" w14:textId="6B42CB77" w:rsidR="00C22BF0" w:rsidRDefault="002311A4" w:rsidP="00962DAA">
      <w:pPr>
        <w:pStyle w:val="ListParagraph"/>
        <w:numPr>
          <w:ilvl w:val="0"/>
          <w:numId w:val="26"/>
        </w:numPr>
        <w:rPr>
          <w:sz w:val="20"/>
          <w:szCs w:val="20"/>
        </w:rPr>
      </w:pPr>
      <w:r>
        <w:rPr>
          <w:sz w:val="20"/>
          <w:szCs w:val="20"/>
        </w:rPr>
        <w:t>Common Discomforts Chart x 2</w:t>
      </w:r>
      <w:r w:rsidR="00EC78A0" w:rsidRPr="00AB4D4A">
        <w:rPr>
          <w:sz w:val="20"/>
          <w:szCs w:val="20"/>
        </w:rPr>
        <w:t>:</w:t>
      </w:r>
      <w:r w:rsidR="00904E2E" w:rsidRPr="00AB4D4A">
        <w:rPr>
          <w:sz w:val="20"/>
          <w:szCs w:val="20"/>
        </w:rPr>
        <w:t xml:space="preserve"> </w:t>
      </w:r>
      <w:r w:rsidR="00DE7648">
        <w:rPr>
          <w:sz w:val="20"/>
          <w:szCs w:val="20"/>
        </w:rPr>
        <w:t>10</w:t>
      </w:r>
      <w:r w:rsidR="00EC78A0" w:rsidRPr="00AB4D4A">
        <w:rPr>
          <w:sz w:val="20"/>
          <w:szCs w:val="20"/>
        </w:rPr>
        <w:t>%</w:t>
      </w:r>
    </w:p>
    <w:p w14:paraId="7C848E0F" w14:textId="0FD04BE9" w:rsidR="00DE7648" w:rsidRDefault="00DE7648" w:rsidP="00962DAA">
      <w:pPr>
        <w:pStyle w:val="ListParagraph"/>
        <w:numPr>
          <w:ilvl w:val="0"/>
          <w:numId w:val="26"/>
        </w:numPr>
        <w:rPr>
          <w:sz w:val="20"/>
          <w:szCs w:val="20"/>
        </w:rPr>
      </w:pPr>
      <w:r>
        <w:rPr>
          <w:sz w:val="20"/>
          <w:szCs w:val="20"/>
        </w:rPr>
        <w:t>Reading Review Assignments &amp; PP Cheat Sheet: 15%</w:t>
      </w:r>
    </w:p>
    <w:bookmarkStart w:id="15" w:name="Scale"/>
    <w:p w14:paraId="3285DBC9" w14:textId="7E589A98" w:rsidR="00314DC9" w:rsidRDefault="0091525E" w:rsidP="00217137">
      <w:pPr>
        <w:pStyle w:val="Heading3"/>
      </w:pPr>
      <w:r w:rsidRPr="0091525E">
        <w:fldChar w:fldCharType="begin"/>
      </w:r>
      <w:r w:rsidR="00873E6E">
        <w:instrText>HYPERLINK  \l "Scale" \o "If you are planning to round final grades up, you should let your students know by adding a note below this title.  Canvas will not round grades for you."</w:instrText>
      </w:r>
      <w:r w:rsidRPr="0091525E">
        <w:fldChar w:fldCharType="separate"/>
      </w:r>
      <w:r w:rsidR="00E04E9B" w:rsidRPr="0091525E">
        <w:rPr>
          <w:rStyle w:val="Hyperlink"/>
        </w:rPr>
        <w:t>Grading Scale:</w:t>
      </w:r>
      <w:r w:rsidRPr="0091525E">
        <w:fldChar w:fldCharType="end"/>
      </w:r>
      <w:bookmarkEnd w:id="15"/>
    </w:p>
    <w:tbl>
      <w:tblPr>
        <w:tblStyle w:val="PlainTable1"/>
        <w:tblW w:w="0" w:type="auto"/>
        <w:tblLook w:val="0420" w:firstRow="1" w:lastRow="0" w:firstColumn="0" w:lastColumn="0" w:noHBand="0" w:noVBand="1"/>
      </w:tblPr>
      <w:tblGrid>
        <w:gridCol w:w="1795"/>
        <w:gridCol w:w="1530"/>
        <w:gridCol w:w="1620"/>
      </w:tblGrid>
      <w:tr w:rsidR="00D210F5" w14:paraId="075496BA" w14:textId="77777777" w:rsidTr="007A7F8B">
        <w:trPr>
          <w:cnfStyle w:val="100000000000" w:firstRow="1" w:lastRow="0" w:firstColumn="0" w:lastColumn="0" w:oddVBand="0" w:evenVBand="0" w:oddHBand="0" w:evenHBand="0" w:firstRowFirstColumn="0" w:firstRowLastColumn="0" w:lastRowFirstColumn="0" w:lastRowLastColumn="0"/>
        </w:trPr>
        <w:tc>
          <w:tcPr>
            <w:tcW w:w="1795" w:type="dxa"/>
          </w:tcPr>
          <w:p w14:paraId="544D707B" w14:textId="77777777" w:rsidR="00D210F5" w:rsidRDefault="00D210F5" w:rsidP="00314DC9">
            <w:r>
              <w:t>Letter Name</w:t>
            </w:r>
          </w:p>
        </w:tc>
        <w:tc>
          <w:tcPr>
            <w:tcW w:w="3150" w:type="dxa"/>
            <w:gridSpan w:val="2"/>
          </w:tcPr>
          <w:p w14:paraId="39E0FCF2" w14:textId="77777777" w:rsidR="00D210F5" w:rsidRDefault="00D210F5" w:rsidP="00314DC9">
            <w:r>
              <w:t>Range</w:t>
            </w:r>
          </w:p>
        </w:tc>
      </w:tr>
      <w:tr w:rsidR="00D210F5" w14:paraId="49C9DC8A" w14:textId="77777777" w:rsidTr="007A7F8B">
        <w:trPr>
          <w:cnfStyle w:val="000000100000" w:firstRow="0" w:lastRow="0" w:firstColumn="0" w:lastColumn="0" w:oddVBand="0" w:evenVBand="0" w:oddHBand="1" w:evenHBand="0" w:firstRowFirstColumn="0" w:firstRowLastColumn="0" w:lastRowFirstColumn="0" w:lastRowLastColumn="0"/>
        </w:trPr>
        <w:tc>
          <w:tcPr>
            <w:tcW w:w="1795" w:type="dxa"/>
          </w:tcPr>
          <w:p w14:paraId="532703A2" w14:textId="77777777" w:rsidR="00D210F5" w:rsidRDefault="00D210F5" w:rsidP="00314DC9">
            <w:r>
              <w:t>A</w:t>
            </w:r>
          </w:p>
        </w:tc>
        <w:tc>
          <w:tcPr>
            <w:tcW w:w="1530" w:type="dxa"/>
          </w:tcPr>
          <w:p w14:paraId="1AC3422F" w14:textId="77777777" w:rsidR="00D210F5" w:rsidRDefault="004D415A" w:rsidP="00314DC9">
            <w:r>
              <w:t>100%</w:t>
            </w:r>
          </w:p>
        </w:tc>
        <w:tc>
          <w:tcPr>
            <w:tcW w:w="1620" w:type="dxa"/>
          </w:tcPr>
          <w:p w14:paraId="4FCEC0DE" w14:textId="77777777" w:rsidR="00D210F5" w:rsidRDefault="004D415A" w:rsidP="00314DC9">
            <w:proofErr w:type="gramStart"/>
            <w:r>
              <w:t>to</w:t>
            </w:r>
            <w:proofErr w:type="gramEnd"/>
            <w:r>
              <w:t xml:space="preserve"> 9</w:t>
            </w:r>
            <w:r w:rsidR="00082BFA">
              <w:t>5</w:t>
            </w:r>
            <w:r>
              <w:t>%</w:t>
            </w:r>
          </w:p>
        </w:tc>
      </w:tr>
      <w:tr w:rsidR="00D210F5" w14:paraId="30715E28" w14:textId="77777777" w:rsidTr="007A7F8B">
        <w:tc>
          <w:tcPr>
            <w:tcW w:w="1795" w:type="dxa"/>
          </w:tcPr>
          <w:p w14:paraId="601E7671" w14:textId="77777777" w:rsidR="00D210F5" w:rsidRDefault="00D210F5" w:rsidP="00314DC9">
            <w:r>
              <w:t>A-</w:t>
            </w:r>
          </w:p>
        </w:tc>
        <w:tc>
          <w:tcPr>
            <w:tcW w:w="1530" w:type="dxa"/>
          </w:tcPr>
          <w:p w14:paraId="0BB2C4DD" w14:textId="77777777" w:rsidR="00D210F5" w:rsidRDefault="004D415A" w:rsidP="00314DC9">
            <w:r>
              <w:t>&lt;9</w:t>
            </w:r>
            <w:r w:rsidR="007A05F8">
              <w:t>5</w:t>
            </w:r>
            <w:r>
              <w:t>%</w:t>
            </w:r>
          </w:p>
        </w:tc>
        <w:tc>
          <w:tcPr>
            <w:tcW w:w="1620" w:type="dxa"/>
          </w:tcPr>
          <w:p w14:paraId="643716C5" w14:textId="77777777" w:rsidR="00D210F5" w:rsidRDefault="004D415A" w:rsidP="00314DC9">
            <w:proofErr w:type="gramStart"/>
            <w:r>
              <w:t>to</w:t>
            </w:r>
            <w:proofErr w:type="gramEnd"/>
            <w:r>
              <w:t xml:space="preserve"> 90%</w:t>
            </w:r>
          </w:p>
        </w:tc>
      </w:tr>
      <w:tr w:rsidR="00D210F5" w14:paraId="2CBED24C" w14:textId="77777777" w:rsidTr="007A7F8B">
        <w:trPr>
          <w:cnfStyle w:val="000000100000" w:firstRow="0" w:lastRow="0" w:firstColumn="0" w:lastColumn="0" w:oddVBand="0" w:evenVBand="0" w:oddHBand="1" w:evenHBand="0" w:firstRowFirstColumn="0" w:firstRowLastColumn="0" w:lastRowFirstColumn="0" w:lastRowLastColumn="0"/>
        </w:trPr>
        <w:tc>
          <w:tcPr>
            <w:tcW w:w="1795" w:type="dxa"/>
          </w:tcPr>
          <w:p w14:paraId="0835EF2A" w14:textId="77777777" w:rsidR="00D210F5" w:rsidRDefault="00D210F5" w:rsidP="00314DC9">
            <w:r>
              <w:t>B+</w:t>
            </w:r>
          </w:p>
        </w:tc>
        <w:tc>
          <w:tcPr>
            <w:tcW w:w="1530" w:type="dxa"/>
          </w:tcPr>
          <w:p w14:paraId="1824CE71" w14:textId="77777777" w:rsidR="00D210F5" w:rsidRDefault="007A05F8" w:rsidP="00314DC9">
            <w:r>
              <w:t>&lt;90%</w:t>
            </w:r>
          </w:p>
        </w:tc>
        <w:tc>
          <w:tcPr>
            <w:tcW w:w="1620" w:type="dxa"/>
          </w:tcPr>
          <w:p w14:paraId="571070A8" w14:textId="77777777" w:rsidR="00D210F5" w:rsidRDefault="007A05F8" w:rsidP="00314DC9">
            <w:proofErr w:type="gramStart"/>
            <w:r>
              <w:t>to</w:t>
            </w:r>
            <w:proofErr w:type="gramEnd"/>
            <w:r>
              <w:t xml:space="preserve"> 87%</w:t>
            </w:r>
          </w:p>
        </w:tc>
      </w:tr>
      <w:tr w:rsidR="00E42242" w14:paraId="10EF3CD0" w14:textId="77777777" w:rsidTr="007A7F8B">
        <w:tc>
          <w:tcPr>
            <w:tcW w:w="1795" w:type="dxa"/>
          </w:tcPr>
          <w:p w14:paraId="2F966B5A" w14:textId="77777777" w:rsidR="00E42242" w:rsidRDefault="00D210F5" w:rsidP="00314DC9">
            <w:r>
              <w:t>B</w:t>
            </w:r>
          </w:p>
        </w:tc>
        <w:tc>
          <w:tcPr>
            <w:tcW w:w="1530" w:type="dxa"/>
          </w:tcPr>
          <w:p w14:paraId="38A128F2" w14:textId="77777777" w:rsidR="00E42242" w:rsidRDefault="007A05F8" w:rsidP="00314DC9">
            <w:r>
              <w:t>&lt;87%</w:t>
            </w:r>
          </w:p>
        </w:tc>
        <w:tc>
          <w:tcPr>
            <w:tcW w:w="1620" w:type="dxa"/>
          </w:tcPr>
          <w:p w14:paraId="19ACB02C" w14:textId="77777777" w:rsidR="00E42242" w:rsidRDefault="007A05F8" w:rsidP="00314DC9">
            <w:proofErr w:type="gramStart"/>
            <w:r>
              <w:t>to</w:t>
            </w:r>
            <w:proofErr w:type="gramEnd"/>
            <w:r>
              <w:t xml:space="preserve"> 84%</w:t>
            </w:r>
          </w:p>
        </w:tc>
      </w:tr>
      <w:tr w:rsidR="00E42242" w14:paraId="659F78AC" w14:textId="77777777" w:rsidTr="007A7F8B">
        <w:trPr>
          <w:cnfStyle w:val="000000100000" w:firstRow="0" w:lastRow="0" w:firstColumn="0" w:lastColumn="0" w:oddVBand="0" w:evenVBand="0" w:oddHBand="1" w:evenHBand="0" w:firstRowFirstColumn="0" w:firstRowLastColumn="0" w:lastRowFirstColumn="0" w:lastRowLastColumn="0"/>
        </w:trPr>
        <w:tc>
          <w:tcPr>
            <w:tcW w:w="1795" w:type="dxa"/>
          </w:tcPr>
          <w:p w14:paraId="44FCAD36" w14:textId="77777777" w:rsidR="00E42242" w:rsidRDefault="00D210F5" w:rsidP="00314DC9">
            <w:r>
              <w:t>B-</w:t>
            </w:r>
          </w:p>
        </w:tc>
        <w:tc>
          <w:tcPr>
            <w:tcW w:w="1530" w:type="dxa"/>
          </w:tcPr>
          <w:p w14:paraId="2C8DCC8E" w14:textId="77777777" w:rsidR="00E42242" w:rsidRDefault="007A05F8" w:rsidP="00314DC9">
            <w:r>
              <w:t>&lt;84%</w:t>
            </w:r>
          </w:p>
        </w:tc>
        <w:tc>
          <w:tcPr>
            <w:tcW w:w="1620" w:type="dxa"/>
          </w:tcPr>
          <w:p w14:paraId="56ED388E" w14:textId="77777777" w:rsidR="00E42242" w:rsidRDefault="007A05F8" w:rsidP="00314DC9">
            <w:proofErr w:type="gramStart"/>
            <w:r>
              <w:t>to</w:t>
            </w:r>
            <w:proofErr w:type="gramEnd"/>
            <w:r>
              <w:t xml:space="preserve"> 80%</w:t>
            </w:r>
          </w:p>
        </w:tc>
      </w:tr>
      <w:tr w:rsidR="00E42242" w14:paraId="1B38E200" w14:textId="77777777" w:rsidTr="007A7F8B">
        <w:tc>
          <w:tcPr>
            <w:tcW w:w="1795" w:type="dxa"/>
          </w:tcPr>
          <w:p w14:paraId="31E55D90" w14:textId="77777777" w:rsidR="00E42242" w:rsidRDefault="00D210F5" w:rsidP="00314DC9">
            <w:r>
              <w:t>C+</w:t>
            </w:r>
          </w:p>
        </w:tc>
        <w:tc>
          <w:tcPr>
            <w:tcW w:w="1530" w:type="dxa"/>
          </w:tcPr>
          <w:p w14:paraId="4743398D" w14:textId="77777777" w:rsidR="00E42242" w:rsidRDefault="007A05F8" w:rsidP="00314DC9">
            <w:r>
              <w:t>&lt;80%</w:t>
            </w:r>
          </w:p>
        </w:tc>
        <w:tc>
          <w:tcPr>
            <w:tcW w:w="1620" w:type="dxa"/>
          </w:tcPr>
          <w:p w14:paraId="7903A0B3" w14:textId="77777777" w:rsidR="00E42242" w:rsidRDefault="007A05F8" w:rsidP="00314DC9">
            <w:proofErr w:type="gramStart"/>
            <w:r>
              <w:t>to</w:t>
            </w:r>
            <w:proofErr w:type="gramEnd"/>
            <w:r>
              <w:t xml:space="preserve"> 77%</w:t>
            </w:r>
          </w:p>
        </w:tc>
      </w:tr>
      <w:tr w:rsidR="00E42242" w14:paraId="5F5A7033" w14:textId="77777777" w:rsidTr="007A7F8B">
        <w:trPr>
          <w:cnfStyle w:val="000000100000" w:firstRow="0" w:lastRow="0" w:firstColumn="0" w:lastColumn="0" w:oddVBand="0" w:evenVBand="0" w:oddHBand="1" w:evenHBand="0" w:firstRowFirstColumn="0" w:firstRowLastColumn="0" w:lastRowFirstColumn="0" w:lastRowLastColumn="0"/>
        </w:trPr>
        <w:tc>
          <w:tcPr>
            <w:tcW w:w="1795" w:type="dxa"/>
          </w:tcPr>
          <w:p w14:paraId="7042CDEC" w14:textId="77777777" w:rsidR="00E42242" w:rsidRDefault="00D210F5" w:rsidP="00314DC9">
            <w:r>
              <w:t>C</w:t>
            </w:r>
          </w:p>
        </w:tc>
        <w:tc>
          <w:tcPr>
            <w:tcW w:w="1530" w:type="dxa"/>
          </w:tcPr>
          <w:p w14:paraId="4DE2D237" w14:textId="77777777" w:rsidR="00E42242" w:rsidRDefault="007A05F8" w:rsidP="00314DC9">
            <w:r>
              <w:t>&lt;77%</w:t>
            </w:r>
          </w:p>
        </w:tc>
        <w:tc>
          <w:tcPr>
            <w:tcW w:w="1620" w:type="dxa"/>
          </w:tcPr>
          <w:p w14:paraId="11A76F03" w14:textId="77777777" w:rsidR="00E42242" w:rsidRDefault="007A05F8" w:rsidP="00314DC9">
            <w:proofErr w:type="gramStart"/>
            <w:r>
              <w:t>to</w:t>
            </w:r>
            <w:proofErr w:type="gramEnd"/>
            <w:r>
              <w:t xml:space="preserve"> 74%</w:t>
            </w:r>
          </w:p>
        </w:tc>
      </w:tr>
      <w:tr w:rsidR="00E42242" w14:paraId="3631BBF4" w14:textId="77777777" w:rsidTr="007A7F8B">
        <w:tc>
          <w:tcPr>
            <w:tcW w:w="1795" w:type="dxa"/>
          </w:tcPr>
          <w:p w14:paraId="2B8F3184" w14:textId="77777777" w:rsidR="00E42242" w:rsidRDefault="00D210F5" w:rsidP="00314DC9">
            <w:r>
              <w:t>C-</w:t>
            </w:r>
          </w:p>
        </w:tc>
        <w:tc>
          <w:tcPr>
            <w:tcW w:w="1530" w:type="dxa"/>
          </w:tcPr>
          <w:p w14:paraId="2F6B5864" w14:textId="77777777" w:rsidR="00E42242" w:rsidRDefault="007A05F8" w:rsidP="00314DC9">
            <w:r>
              <w:t>&lt;74%</w:t>
            </w:r>
          </w:p>
        </w:tc>
        <w:tc>
          <w:tcPr>
            <w:tcW w:w="1620" w:type="dxa"/>
          </w:tcPr>
          <w:p w14:paraId="442ABA16" w14:textId="77777777" w:rsidR="00E42242" w:rsidRDefault="007A05F8" w:rsidP="00314DC9">
            <w:proofErr w:type="gramStart"/>
            <w:r>
              <w:t>to</w:t>
            </w:r>
            <w:proofErr w:type="gramEnd"/>
            <w:r>
              <w:t xml:space="preserve"> 70%</w:t>
            </w:r>
          </w:p>
        </w:tc>
      </w:tr>
      <w:tr w:rsidR="00E42242" w14:paraId="29905BE4" w14:textId="77777777" w:rsidTr="007A7F8B">
        <w:trPr>
          <w:cnfStyle w:val="000000100000" w:firstRow="0" w:lastRow="0" w:firstColumn="0" w:lastColumn="0" w:oddVBand="0" w:evenVBand="0" w:oddHBand="1" w:evenHBand="0" w:firstRowFirstColumn="0" w:firstRowLastColumn="0" w:lastRowFirstColumn="0" w:lastRowLastColumn="0"/>
        </w:trPr>
        <w:tc>
          <w:tcPr>
            <w:tcW w:w="1795" w:type="dxa"/>
          </w:tcPr>
          <w:p w14:paraId="2D0450F0" w14:textId="77777777" w:rsidR="00E42242" w:rsidRDefault="00D210F5" w:rsidP="00314DC9">
            <w:r>
              <w:t>D+</w:t>
            </w:r>
          </w:p>
        </w:tc>
        <w:tc>
          <w:tcPr>
            <w:tcW w:w="1530" w:type="dxa"/>
          </w:tcPr>
          <w:p w14:paraId="19A1E41A" w14:textId="77777777" w:rsidR="00E42242" w:rsidRDefault="007A05F8" w:rsidP="00314DC9">
            <w:r>
              <w:t>&lt;70%</w:t>
            </w:r>
          </w:p>
        </w:tc>
        <w:tc>
          <w:tcPr>
            <w:tcW w:w="1620" w:type="dxa"/>
          </w:tcPr>
          <w:p w14:paraId="72B875E9" w14:textId="77777777" w:rsidR="00E42242" w:rsidRDefault="007A05F8" w:rsidP="00314DC9">
            <w:proofErr w:type="gramStart"/>
            <w:r>
              <w:t>to</w:t>
            </w:r>
            <w:proofErr w:type="gramEnd"/>
            <w:r>
              <w:t xml:space="preserve"> 67%</w:t>
            </w:r>
          </w:p>
        </w:tc>
      </w:tr>
      <w:tr w:rsidR="00E42242" w14:paraId="6D0618AA" w14:textId="77777777" w:rsidTr="007A7F8B">
        <w:tc>
          <w:tcPr>
            <w:tcW w:w="1795" w:type="dxa"/>
          </w:tcPr>
          <w:p w14:paraId="2221F134" w14:textId="77777777" w:rsidR="00E42242" w:rsidRDefault="00D210F5" w:rsidP="00314DC9">
            <w:r>
              <w:t>D</w:t>
            </w:r>
          </w:p>
        </w:tc>
        <w:tc>
          <w:tcPr>
            <w:tcW w:w="1530" w:type="dxa"/>
          </w:tcPr>
          <w:p w14:paraId="0B2F1449" w14:textId="77777777" w:rsidR="00E42242" w:rsidRDefault="007A05F8" w:rsidP="00314DC9">
            <w:r>
              <w:t>&lt;67%</w:t>
            </w:r>
          </w:p>
        </w:tc>
        <w:tc>
          <w:tcPr>
            <w:tcW w:w="1620" w:type="dxa"/>
          </w:tcPr>
          <w:p w14:paraId="2829F76F" w14:textId="77777777" w:rsidR="00E42242" w:rsidRDefault="007A05F8" w:rsidP="00314DC9">
            <w:proofErr w:type="gramStart"/>
            <w:r>
              <w:t>to</w:t>
            </w:r>
            <w:proofErr w:type="gramEnd"/>
            <w:r>
              <w:t xml:space="preserve"> 64%</w:t>
            </w:r>
          </w:p>
        </w:tc>
      </w:tr>
      <w:tr w:rsidR="00D210F5" w14:paraId="716940B2" w14:textId="77777777" w:rsidTr="007A7F8B">
        <w:trPr>
          <w:cnfStyle w:val="000000100000" w:firstRow="0" w:lastRow="0" w:firstColumn="0" w:lastColumn="0" w:oddVBand="0" w:evenVBand="0" w:oddHBand="1" w:evenHBand="0" w:firstRowFirstColumn="0" w:firstRowLastColumn="0" w:lastRowFirstColumn="0" w:lastRowLastColumn="0"/>
        </w:trPr>
        <w:tc>
          <w:tcPr>
            <w:tcW w:w="1795" w:type="dxa"/>
          </w:tcPr>
          <w:p w14:paraId="1DED2C91" w14:textId="77777777" w:rsidR="00D210F5" w:rsidRDefault="00D210F5" w:rsidP="00314DC9">
            <w:r>
              <w:t>D-</w:t>
            </w:r>
          </w:p>
        </w:tc>
        <w:tc>
          <w:tcPr>
            <w:tcW w:w="1530" w:type="dxa"/>
          </w:tcPr>
          <w:p w14:paraId="2ED3856D" w14:textId="77777777" w:rsidR="00D210F5" w:rsidRDefault="007A05F8" w:rsidP="00314DC9">
            <w:r>
              <w:t>&lt;64%</w:t>
            </w:r>
          </w:p>
        </w:tc>
        <w:tc>
          <w:tcPr>
            <w:tcW w:w="1620" w:type="dxa"/>
          </w:tcPr>
          <w:p w14:paraId="03B27CC5" w14:textId="77777777" w:rsidR="00D210F5" w:rsidRDefault="007A05F8" w:rsidP="00314DC9">
            <w:proofErr w:type="gramStart"/>
            <w:r>
              <w:t>to</w:t>
            </w:r>
            <w:proofErr w:type="gramEnd"/>
            <w:r>
              <w:t xml:space="preserve"> 61%</w:t>
            </w:r>
          </w:p>
        </w:tc>
      </w:tr>
      <w:tr w:rsidR="00D210F5" w14:paraId="407F2E26" w14:textId="77777777" w:rsidTr="007A7F8B">
        <w:tc>
          <w:tcPr>
            <w:tcW w:w="1795" w:type="dxa"/>
          </w:tcPr>
          <w:p w14:paraId="6DE3D02B" w14:textId="77777777" w:rsidR="00D210F5" w:rsidRDefault="007A05F8" w:rsidP="00314DC9">
            <w:r>
              <w:lastRenderedPageBreak/>
              <w:t>E</w:t>
            </w:r>
          </w:p>
        </w:tc>
        <w:tc>
          <w:tcPr>
            <w:tcW w:w="1530" w:type="dxa"/>
          </w:tcPr>
          <w:p w14:paraId="57B5E3DA" w14:textId="77777777" w:rsidR="00D210F5" w:rsidRDefault="007A05F8" w:rsidP="00314DC9">
            <w:r>
              <w:t>&lt;61%</w:t>
            </w:r>
          </w:p>
        </w:tc>
        <w:tc>
          <w:tcPr>
            <w:tcW w:w="1620" w:type="dxa"/>
          </w:tcPr>
          <w:p w14:paraId="77F30120" w14:textId="77777777" w:rsidR="00D210F5" w:rsidRDefault="007A05F8" w:rsidP="00314DC9">
            <w:proofErr w:type="gramStart"/>
            <w:r>
              <w:t>to</w:t>
            </w:r>
            <w:proofErr w:type="gramEnd"/>
            <w:r>
              <w:t xml:space="preserve"> 0%</w:t>
            </w:r>
          </w:p>
        </w:tc>
      </w:tr>
    </w:tbl>
    <w:p w14:paraId="6A1A35A7" w14:textId="77777777" w:rsidR="00413877" w:rsidRPr="00754552" w:rsidRDefault="00413877" w:rsidP="00413877">
      <w:pPr>
        <w:rPr>
          <w:color w:val="414042"/>
        </w:rPr>
      </w:pPr>
    </w:p>
    <w:bookmarkStart w:id="16" w:name="Outline"/>
    <w:p w14:paraId="284E8728" w14:textId="67A3D222" w:rsidR="00217137" w:rsidRDefault="00E04E9B" w:rsidP="00217137">
      <w:pPr>
        <w:pStyle w:val="Heading3"/>
      </w:pPr>
      <w:r w:rsidRPr="00E04E9B">
        <w:fldChar w:fldCharType="begin"/>
      </w:r>
      <w:r w:rsidRPr="00E04E9B">
        <w:instrText xml:space="preserve"> HYPERLINK  \l "Outline" \o "1. Global Evolution of Quality Improvement  2. Building the Case for Quality Improvement  3. Human Factors and Patient Safety" </w:instrText>
      </w:r>
      <w:r w:rsidRPr="00E04E9B">
        <w:fldChar w:fldCharType="separate"/>
      </w:r>
      <w:r w:rsidR="00413877" w:rsidRPr="00E04E9B">
        <w:rPr>
          <w:rStyle w:val="Hyperlink"/>
          <w:rFonts w:ascii="Century Gothic" w:hAnsi="Century Gothic"/>
        </w:rPr>
        <w:t xml:space="preserve">Topical Outline of Major Areas to be </w:t>
      </w:r>
      <w:proofErr w:type="gramStart"/>
      <w:r w:rsidR="00413877" w:rsidRPr="00E04E9B">
        <w:rPr>
          <w:rStyle w:val="Hyperlink"/>
          <w:rFonts w:ascii="Century Gothic" w:hAnsi="Century Gothic"/>
        </w:rPr>
        <w:t>Covered</w:t>
      </w:r>
      <w:proofErr w:type="gramEnd"/>
      <w:r w:rsidR="00413877" w:rsidRPr="00E04E9B">
        <w:rPr>
          <w:rStyle w:val="Hyperlink"/>
          <w:rFonts w:ascii="Century Gothic" w:hAnsi="Century Gothic"/>
        </w:rPr>
        <w:t>:</w:t>
      </w:r>
      <w:bookmarkEnd w:id="16"/>
      <w:r w:rsidRPr="00E04E9B">
        <w:fldChar w:fldCharType="end"/>
      </w:r>
    </w:p>
    <w:p w14:paraId="33464B62" w14:textId="77777777" w:rsidR="005E7CDC" w:rsidRPr="00C22BF0" w:rsidRDefault="005E7CDC" w:rsidP="005E7CDC">
      <w:pPr>
        <w:spacing w:after="0" w:line="240" w:lineRule="auto"/>
        <w:rPr>
          <w:rFonts w:cs="Times New Roman"/>
        </w:rPr>
      </w:pPr>
      <w:r w:rsidRPr="00C22BF0">
        <w:rPr>
          <w:rFonts w:cs="Arial"/>
          <w:b/>
          <w:bCs/>
          <w:color w:val="000000"/>
          <w:u w:val="single"/>
        </w:rPr>
        <w:t>Maternal</w:t>
      </w:r>
    </w:p>
    <w:p w14:paraId="2AC6AE5E" w14:textId="77777777" w:rsidR="005E7CDC" w:rsidRPr="00C108DE" w:rsidRDefault="005E7CDC" w:rsidP="005E7CDC">
      <w:pPr>
        <w:numPr>
          <w:ilvl w:val="0"/>
          <w:numId w:val="20"/>
        </w:numPr>
        <w:spacing w:after="0" w:line="240" w:lineRule="auto"/>
        <w:textAlignment w:val="baseline"/>
        <w:rPr>
          <w:rFonts w:cs="Arial"/>
          <w:color w:val="000000"/>
          <w:sz w:val="20"/>
          <w:szCs w:val="20"/>
        </w:rPr>
      </w:pPr>
      <w:r w:rsidRPr="00C108DE">
        <w:rPr>
          <w:rFonts w:cs="Arial"/>
          <w:color w:val="000000"/>
          <w:sz w:val="20"/>
          <w:szCs w:val="20"/>
        </w:rPr>
        <w:t>Anatomy/Physiology of Postpartum</w:t>
      </w:r>
    </w:p>
    <w:p w14:paraId="231C15BB" w14:textId="77777777" w:rsidR="005E7CDC" w:rsidRPr="00C108DE" w:rsidRDefault="005E7CDC" w:rsidP="005E7CDC">
      <w:pPr>
        <w:numPr>
          <w:ilvl w:val="0"/>
          <w:numId w:val="20"/>
        </w:numPr>
        <w:spacing w:after="0" w:line="240" w:lineRule="auto"/>
        <w:textAlignment w:val="baseline"/>
        <w:rPr>
          <w:rFonts w:cs="Arial"/>
          <w:color w:val="000000"/>
          <w:sz w:val="20"/>
          <w:szCs w:val="20"/>
        </w:rPr>
      </w:pPr>
      <w:r w:rsidRPr="00C108DE">
        <w:rPr>
          <w:rFonts w:cs="Arial"/>
          <w:color w:val="000000"/>
          <w:sz w:val="20"/>
          <w:szCs w:val="20"/>
        </w:rPr>
        <w:t xml:space="preserve">PP visits/exams: Inpatient, 2 </w:t>
      </w:r>
      <w:proofErr w:type="spellStart"/>
      <w:r w:rsidRPr="00C108DE">
        <w:rPr>
          <w:rFonts w:cs="Arial"/>
          <w:color w:val="000000"/>
          <w:sz w:val="20"/>
          <w:szCs w:val="20"/>
        </w:rPr>
        <w:t>wk</w:t>
      </w:r>
      <w:proofErr w:type="spellEnd"/>
      <w:r w:rsidRPr="00C108DE">
        <w:rPr>
          <w:rFonts w:cs="Arial"/>
          <w:color w:val="000000"/>
          <w:sz w:val="20"/>
          <w:szCs w:val="20"/>
        </w:rPr>
        <w:t xml:space="preserve">, 6 </w:t>
      </w:r>
      <w:proofErr w:type="spellStart"/>
      <w:r w:rsidRPr="00C108DE">
        <w:rPr>
          <w:rFonts w:cs="Arial"/>
          <w:color w:val="000000"/>
          <w:sz w:val="20"/>
          <w:szCs w:val="20"/>
        </w:rPr>
        <w:t>wk</w:t>
      </w:r>
      <w:proofErr w:type="spellEnd"/>
    </w:p>
    <w:p w14:paraId="077A68A6" w14:textId="77777777" w:rsidR="005E7CDC" w:rsidRPr="00C108DE" w:rsidRDefault="005E7CDC" w:rsidP="005E7CDC">
      <w:pPr>
        <w:numPr>
          <w:ilvl w:val="0"/>
          <w:numId w:val="20"/>
        </w:numPr>
        <w:spacing w:after="0" w:line="240" w:lineRule="auto"/>
        <w:textAlignment w:val="baseline"/>
        <w:rPr>
          <w:rFonts w:cs="Arial"/>
          <w:color w:val="000000"/>
          <w:sz w:val="20"/>
          <w:szCs w:val="20"/>
        </w:rPr>
      </w:pPr>
      <w:r w:rsidRPr="00C108DE">
        <w:rPr>
          <w:rFonts w:cs="Arial"/>
          <w:color w:val="000000"/>
          <w:sz w:val="20"/>
          <w:szCs w:val="20"/>
        </w:rPr>
        <w:t>Managing Common PP Discomforts</w:t>
      </w:r>
    </w:p>
    <w:p w14:paraId="7E0D673E" w14:textId="77777777" w:rsidR="005E7CDC" w:rsidRPr="00C108DE" w:rsidRDefault="005E7CDC" w:rsidP="005E7CDC">
      <w:pPr>
        <w:numPr>
          <w:ilvl w:val="0"/>
          <w:numId w:val="20"/>
        </w:numPr>
        <w:spacing w:after="0" w:line="240" w:lineRule="auto"/>
        <w:textAlignment w:val="baseline"/>
        <w:rPr>
          <w:rFonts w:cs="Arial"/>
          <w:color w:val="000000"/>
          <w:sz w:val="20"/>
          <w:szCs w:val="20"/>
        </w:rPr>
      </w:pPr>
      <w:r w:rsidRPr="00C108DE">
        <w:rPr>
          <w:rFonts w:cs="Arial"/>
          <w:color w:val="000000"/>
          <w:sz w:val="20"/>
          <w:szCs w:val="20"/>
        </w:rPr>
        <w:t xml:space="preserve">Managing Common PP Complications: </w:t>
      </w:r>
    </w:p>
    <w:p w14:paraId="633EA58A" w14:textId="77777777" w:rsidR="005E7CDC" w:rsidRPr="00C108DE" w:rsidRDefault="005E7CDC" w:rsidP="005E7CDC">
      <w:pPr>
        <w:numPr>
          <w:ilvl w:val="1"/>
          <w:numId w:val="20"/>
        </w:numPr>
        <w:spacing w:after="0" w:line="240" w:lineRule="auto"/>
        <w:textAlignment w:val="baseline"/>
        <w:rPr>
          <w:rFonts w:cs="Arial"/>
          <w:color w:val="000000"/>
          <w:sz w:val="20"/>
          <w:szCs w:val="20"/>
        </w:rPr>
      </w:pPr>
      <w:r w:rsidRPr="00C108DE">
        <w:rPr>
          <w:rFonts w:cs="Arial"/>
          <w:color w:val="000000"/>
          <w:sz w:val="20"/>
          <w:szCs w:val="20"/>
        </w:rPr>
        <w:t>Non-febrile: physical and psychological</w:t>
      </w:r>
    </w:p>
    <w:p w14:paraId="75618E40" w14:textId="77777777" w:rsidR="005E7CDC" w:rsidRPr="00C108DE" w:rsidRDefault="005E7CDC" w:rsidP="005E7CDC">
      <w:pPr>
        <w:numPr>
          <w:ilvl w:val="1"/>
          <w:numId w:val="20"/>
        </w:numPr>
        <w:spacing w:after="0" w:line="240" w:lineRule="auto"/>
        <w:textAlignment w:val="baseline"/>
        <w:rPr>
          <w:rFonts w:cs="Arial"/>
          <w:color w:val="000000"/>
          <w:sz w:val="20"/>
          <w:szCs w:val="20"/>
        </w:rPr>
      </w:pPr>
      <w:r w:rsidRPr="00C108DE">
        <w:rPr>
          <w:rFonts w:cs="Arial"/>
          <w:color w:val="000000"/>
          <w:sz w:val="20"/>
          <w:szCs w:val="20"/>
        </w:rPr>
        <w:t xml:space="preserve">Febrile: </w:t>
      </w:r>
    </w:p>
    <w:p w14:paraId="3A9B1567" w14:textId="77777777" w:rsidR="005E7CDC" w:rsidRPr="00C108DE" w:rsidRDefault="005E7CDC" w:rsidP="005E7CDC">
      <w:pPr>
        <w:numPr>
          <w:ilvl w:val="0"/>
          <w:numId w:val="20"/>
        </w:numPr>
        <w:spacing w:after="0" w:line="240" w:lineRule="auto"/>
        <w:textAlignment w:val="baseline"/>
        <w:rPr>
          <w:rFonts w:cs="Arial"/>
          <w:color w:val="000000"/>
          <w:sz w:val="20"/>
          <w:szCs w:val="20"/>
        </w:rPr>
      </w:pPr>
      <w:r w:rsidRPr="00C108DE">
        <w:rPr>
          <w:rFonts w:cs="Arial"/>
          <w:color w:val="000000"/>
          <w:sz w:val="20"/>
          <w:szCs w:val="20"/>
        </w:rPr>
        <w:t>Sexuality, Resumption of IC, and PP Contraception</w:t>
      </w:r>
    </w:p>
    <w:p w14:paraId="6A90D679" w14:textId="77777777" w:rsidR="005E7CDC" w:rsidRDefault="005E7CDC" w:rsidP="005E7CDC">
      <w:pPr>
        <w:numPr>
          <w:ilvl w:val="0"/>
          <w:numId w:val="20"/>
        </w:numPr>
        <w:spacing w:after="0" w:line="240" w:lineRule="auto"/>
        <w:textAlignment w:val="baseline"/>
        <w:rPr>
          <w:rFonts w:ascii="Arial" w:hAnsi="Arial" w:cs="Arial"/>
          <w:color w:val="000000"/>
        </w:rPr>
      </w:pPr>
      <w:r w:rsidRPr="00C108DE">
        <w:rPr>
          <w:rFonts w:cs="Arial"/>
          <w:color w:val="000000"/>
          <w:sz w:val="20"/>
          <w:szCs w:val="20"/>
        </w:rPr>
        <w:t>Special Considerations</w:t>
      </w:r>
    </w:p>
    <w:p w14:paraId="5180D9CA" w14:textId="77777777" w:rsidR="005E7CDC" w:rsidRPr="005E7CDC" w:rsidRDefault="005E7CDC" w:rsidP="005E7CDC">
      <w:pPr>
        <w:spacing w:after="0" w:line="240" w:lineRule="auto"/>
        <w:ind w:left="720"/>
        <w:textAlignment w:val="baseline"/>
        <w:rPr>
          <w:rFonts w:ascii="Arial" w:hAnsi="Arial" w:cs="Arial"/>
          <w:color w:val="000000"/>
        </w:rPr>
      </w:pPr>
    </w:p>
    <w:p w14:paraId="5730018F" w14:textId="77777777" w:rsidR="005E7CDC" w:rsidRPr="00C22BF0" w:rsidRDefault="005E7CDC" w:rsidP="005E7CDC">
      <w:pPr>
        <w:spacing w:after="0" w:line="240" w:lineRule="auto"/>
        <w:rPr>
          <w:rFonts w:cs="Times New Roman"/>
        </w:rPr>
      </w:pPr>
      <w:r w:rsidRPr="00C22BF0">
        <w:rPr>
          <w:rFonts w:cs="Arial"/>
          <w:b/>
          <w:bCs/>
          <w:color w:val="000000"/>
          <w:u w:val="single"/>
        </w:rPr>
        <w:t>Lactation:</w:t>
      </w:r>
    </w:p>
    <w:p w14:paraId="67B8A95B" w14:textId="77777777" w:rsidR="005E7CDC" w:rsidRPr="00C108DE" w:rsidRDefault="005E7CDC" w:rsidP="005E7CDC">
      <w:pPr>
        <w:numPr>
          <w:ilvl w:val="0"/>
          <w:numId w:val="21"/>
        </w:numPr>
        <w:spacing w:after="0" w:line="240" w:lineRule="auto"/>
        <w:textAlignment w:val="baseline"/>
        <w:rPr>
          <w:rFonts w:cs="Arial"/>
          <w:color w:val="000000"/>
          <w:sz w:val="20"/>
          <w:szCs w:val="20"/>
        </w:rPr>
      </w:pPr>
      <w:r w:rsidRPr="00C108DE">
        <w:rPr>
          <w:rFonts w:cs="Arial"/>
          <w:color w:val="000000"/>
          <w:sz w:val="20"/>
          <w:szCs w:val="20"/>
        </w:rPr>
        <w:t>Physiology/Anatomy</w:t>
      </w:r>
    </w:p>
    <w:p w14:paraId="3246032B" w14:textId="77777777" w:rsidR="005E7CDC" w:rsidRPr="00C108DE" w:rsidRDefault="005E7CDC" w:rsidP="005E7CDC">
      <w:pPr>
        <w:numPr>
          <w:ilvl w:val="0"/>
          <w:numId w:val="21"/>
        </w:numPr>
        <w:spacing w:after="0" w:line="240" w:lineRule="auto"/>
        <w:textAlignment w:val="baseline"/>
        <w:rPr>
          <w:rFonts w:cs="Arial"/>
          <w:color w:val="000000"/>
          <w:sz w:val="20"/>
          <w:szCs w:val="20"/>
        </w:rPr>
      </w:pPr>
      <w:r w:rsidRPr="00C108DE">
        <w:rPr>
          <w:rFonts w:cs="Arial"/>
          <w:color w:val="000000"/>
          <w:sz w:val="20"/>
          <w:szCs w:val="20"/>
        </w:rPr>
        <w:t>Getting Started</w:t>
      </w:r>
    </w:p>
    <w:p w14:paraId="42F44CCE" w14:textId="77777777" w:rsidR="005E7CDC" w:rsidRPr="00C108DE" w:rsidRDefault="005E7CDC" w:rsidP="005E7CDC">
      <w:pPr>
        <w:numPr>
          <w:ilvl w:val="0"/>
          <w:numId w:val="21"/>
        </w:numPr>
        <w:spacing w:after="0" w:line="240" w:lineRule="auto"/>
        <w:textAlignment w:val="baseline"/>
        <w:rPr>
          <w:rFonts w:cs="Arial"/>
          <w:color w:val="000000"/>
          <w:sz w:val="20"/>
          <w:szCs w:val="20"/>
        </w:rPr>
      </w:pPr>
      <w:r w:rsidRPr="00C108DE">
        <w:rPr>
          <w:rFonts w:cs="Arial"/>
          <w:color w:val="000000"/>
          <w:sz w:val="20"/>
          <w:szCs w:val="20"/>
        </w:rPr>
        <w:t>Managing Common Breastfeeding Problems/Complications</w:t>
      </w:r>
    </w:p>
    <w:p w14:paraId="31335FEA" w14:textId="77777777" w:rsidR="005E7CDC" w:rsidRPr="00C108DE" w:rsidRDefault="005E7CDC" w:rsidP="005E7CDC">
      <w:pPr>
        <w:numPr>
          <w:ilvl w:val="0"/>
          <w:numId w:val="21"/>
        </w:numPr>
        <w:spacing w:after="0" w:line="240" w:lineRule="auto"/>
        <w:textAlignment w:val="baseline"/>
        <w:rPr>
          <w:rFonts w:cs="Arial"/>
          <w:color w:val="000000"/>
          <w:sz w:val="20"/>
          <w:szCs w:val="20"/>
        </w:rPr>
      </w:pPr>
      <w:r w:rsidRPr="00C108DE">
        <w:rPr>
          <w:rFonts w:cs="Arial"/>
          <w:color w:val="000000"/>
          <w:sz w:val="20"/>
          <w:szCs w:val="20"/>
        </w:rPr>
        <w:t>Contraindications</w:t>
      </w:r>
    </w:p>
    <w:p w14:paraId="1AF36F20" w14:textId="77777777" w:rsidR="005E7CDC" w:rsidRPr="00C108DE" w:rsidRDefault="005E7CDC" w:rsidP="005E7CDC">
      <w:pPr>
        <w:numPr>
          <w:ilvl w:val="0"/>
          <w:numId w:val="21"/>
        </w:numPr>
        <w:spacing w:after="0" w:line="240" w:lineRule="auto"/>
        <w:textAlignment w:val="baseline"/>
        <w:rPr>
          <w:rFonts w:cs="Arial"/>
          <w:color w:val="000000"/>
          <w:sz w:val="20"/>
          <w:szCs w:val="20"/>
        </w:rPr>
      </w:pPr>
      <w:r w:rsidRPr="00C108DE">
        <w:rPr>
          <w:rFonts w:cs="Arial"/>
          <w:color w:val="000000"/>
          <w:sz w:val="20"/>
          <w:szCs w:val="20"/>
        </w:rPr>
        <w:t>Bottle Feeding</w:t>
      </w:r>
    </w:p>
    <w:p w14:paraId="07FACD4F" w14:textId="77777777" w:rsidR="005E7CDC" w:rsidRPr="00C108DE" w:rsidRDefault="005E7CDC" w:rsidP="005E7CDC">
      <w:pPr>
        <w:spacing w:after="0" w:line="240" w:lineRule="auto"/>
        <w:rPr>
          <w:rFonts w:eastAsia="Times New Roman" w:cs="Times New Roman"/>
          <w:sz w:val="20"/>
          <w:szCs w:val="20"/>
        </w:rPr>
      </w:pPr>
    </w:p>
    <w:p w14:paraId="3BA30965" w14:textId="77777777" w:rsidR="005E7CDC" w:rsidRPr="00C22BF0" w:rsidRDefault="005E7CDC" w:rsidP="005E7CDC">
      <w:pPr>
        <w:spacing w:after="0" w:line="240" w:lineRule="auto"/>
        <w:rPr>
          <w:rFonts w:cs="Times New Roman"/>
        </w:rPr>
      </w:pPr>
      <w:r w:rsidRPr="00C22BF0">
        <w:rPr>
          <w:rFonts w:cs="Arial"/>
          <w:b/>
          <w:bCs/>
          <w:color w:val="000000"/>
          <w:u w:val="single"/>
        </w:rPr>
        <w:t>Newborn Care:</w:t>
      </w:r>
    </w:p>
    <w:p w14:paraId="78AC3C48" w14:textId="3EF08DFC" w:rsidR="005E7CDC" w:rsidRPr="00C108DE" w:rsidRDefault="005E7CDC" w:rsidP="005E7CDC">
      <w:pPr>
        <w:numPr>
          <w:ilvl w:val="0"/>
          <w:numId w:val="22"/>
        </w:numPr>
        <w:spacing w:after="0" w:line="240" w:lineRule="auto"/>
        <w:textAlignment w:val="baseline"/>
        <w:rPr>
          <w:rFonts w:cs="Arial"/>
          <w:color w:val="000000"/>
          <w:sz w:val="20"/>
          <w:szCs w:val="20"/>
        </w:rPr>
      </w:pPr>
      <w:r w:rsidRPr="00C108DE">
        <w:rPr>
          <w:rFonts w:cs="Arial"/>
          <w:color w:val="000000"/>
          <w:sz w:val="20"/>
          <w:szCs w:val="20"/>
        </w:rPr>
        <w:t>Anatomy /Physiology/ Transition to extra</w:t>
      </w:r>
      <w:r w:rsidR="007A48C0">
        <w:rPr>
          <w:rFonts w:cs="Arial"/>
          <w:color w:val="000000"/>
          <w:sz w:val="20"/>
          <w:szCs w:val="20"/>
        </w:rPr>
        <w:t>-</w:t>
      </w:r>
      <w:r w:rsidRPr="00C108DE">
        <w:rPr>
          <w:rFonts w:cs="Arial"/>
          <w:color w:val="000000"/>
          <w:sz w:val="20"/>
          <w:szCs w:val="20"/>
        </w:rPr>
        <w:t>uterine life</w:t>
      </w:r>
    </w:p>
    <w:p w14:paraId="26AC744F" w14:textId="64A59275" w:rsidR="00904E2E" w:rsidRPr="007A48C0" w:rsidRDefault="005E7CDC" w:rsidP="007A48C0">
      <w:pPr>
        <w:numPr>
          <w:ilvl w:val="0"/>
          <w:numId w:val="22"/>
        </w:numPr>
        <w:spacing w:after="0" w:line="240" w:lineRule="auto"/>
        <w:textAlignment w:val="baseline"/>
        <w:rPr>
          <w:rFonts w:cs="Arial"/>
          <w:color w:val="000000"/>
          <w:sz w:val="20"/>
          <w:szCs w:val="20"/>
        </w:rPr>
      </w:pPr>
      <w:r w:rsidRPr="00C108DE">
        <w:rPr>
          <w:rFonts w:cs="Arial"/>
          <w:color w:val="000000"/>
          <w:sz w:val="20"/>
          <w:szCs w:val="20"/>
        </w:rPr>
        <w:t>Immediate transition</w:t>
      </w:r>
      <w:r w:rsidR="007A48C0">
        <w:rPr>
          <w:rFonts w:cs="Arial"/>
          <w:color w:val="000000"/>
          <w:sz w:val="20"/>
          <w:szCs w:val="20"/>
        </w:rPr>
        <w:t xml:space="preserve"> and </w:t>
      </w:r>
      <w:r w:rsidR="00904E2E" w:rsidRPr="007A48C0">
        <w:rPr>
          <w:rFonts w:cs="Arial"/>
          <w:color w:val="000000"/>
          <w:sz w:val="20"/>
          <w:szCs w:val="20"/>
        </w:rPr>
        <w:t>NRP</w:t>
      </w:r>
    </w:p>
    <w:p w14:paraId="40F6D511" w14:textId="77777777" w:rsidR="005E7CDC" w:rsidRPr="00C108DE" w:rsidRDefault="00904E2E" w:rsidP="005E7CDC">
      <w:pPr>
        <w:numPr>
          <w:ilvl w:val="0"/>
          <w:numId w:val="22"/>
        </w:numPr>
        <w:spacing w:after="0" w:line="240" w:lineRule="auto"/>
        <w:textAlignment w:val="baseline"/>
        <w:rPr>
          <w:rFonts w:cs="Arial"/>
          <w:color w:val="000000"/>
          <w:sz w:val="20"/>
          <w:szCs w:val="20"/>
        </w:rPr>
      </w:pPr>
      <w:r>
        <w:rPr>
          <w:rFonts w:cs="Arial"/>
          <w:color w:val="000000"/>
          <w:sz w:val="20"/>
          <w:szCs w:val="20"/>
        </w:rPr>
        <w:t xml:space="preserve">The Newborn Exam and </w:t>
      </w:r>
      <w:r w:rsidR="005E7CDC" w:rsidRPr="00C108DE">
        <w:rPr>
          <w:rFonts w:cs="Arial"/>
          <w:color w:val="000000"/>
          <w:sz w:val="20"/>
          <w:szCs w:val="20"/>
        </w:rPr>
        <w:t>gestational age assessment</w:t>
      </w:r>
    </w:p>
    <w:p w14:paraId="5858B9E7" w14:textId="77777777" w:rsidR="005E7CDC" w:rsidRPr="00C108DE" w:rsidRDefault="00C108DE" w:rsidP="005E7CDC">
      <w:pPr>
        <w:numPr>
          <w:ilvl w:val="0"/>
          <w:numId w:val="22"/>
        </w:numPr>
        <w:spacing w:after="0" w:line="240" w:lineRule="auto"/>
        <w:textAlignment w:val="baseline"/>
        <w:rPr>
          <w:rFonts w:cs="Arial"/>
          <w:color w:val="000000"/>
          <w:sz w:val="20"/>
          <w:szCs w:val="20"/>
        </w:rPr>
      </w:pPr>
      <w:r w:rsidRPr="00C108DE">
        <w:rPr>
          <w:rFonts w:cs="Arial"/>
          <w:color w:val="000000"/>
          <w:sz w:val="20"/>
          <w:szCs w:val="20"/>
        </w:rPr>
        <w:t>Inpatient Meds</w:t>
      </w:r>
    </w:p>
    <w:p w14:paraId="5EE0ACC1" w14:textId="77777777" w:rsidR="005E7CDC" w:rsidRPr="00C108DE" w:rsidRDefault="00904E2E" w:rsidP="005E7CDC">
      <w:pPr>
        <w:numPr>
          <w:ilvl w:val="0"/>
          <w:numId w:val="22"/>
        </w:numPr>
        <w:spacing w:after="0" w:line="240" w:lineRule="auto"/>
        <w:textAlignment w:val="baseline"/>
        <w:rPr>
          <w:rFonts w:cs="Arial"/>
          <w:color w:val="000000"/>
          <w:sz w:val="20"/>
          <w:szCs w:val="20"/>
        </w:rPr>
      </w:pPr>
      <w:r>
        <w:rPr>
          <w:rFonts w:cs="Arial"/>
          <w:color w:val="000000"/>
          <w:sz w:val="20"/>
          <w:szCs w:val="20"/>
        </w:rPr>
        <w:t>Controversies: c</w:t>
      </w:r>
      <w:r w:rsidR="005E7CDC" w:rsidRPr="00C108DE">
        <w:rPr>
          <w:rFonts w:cs="Arial"/>
          <w:color w:val="000000"/>
          <w:sz w:val="20"/>
          <w:szCs w:val="20"/>
        </w:rPr>
        <w:t>ircumcision, vaginal seeding</w:t>
      </w:r>
      <w:r>
        <w:rPr>
          <w:rFonts w:cs="Arial"/>
          <w:color w:val="000000"/>
          <w:sz w:val="20"/>
          <w:szCs w:val="20"/>
        </w:rPr>
        <w:t>, co-sleeping</w:t>
      </w:r>
    </w:p>
    <w:p w14:paraId="6C506025" w14:textId="77777777" w:rsidR="005E7CDC" w:rsidRPr="00C108DE" w:rsidRDefault="005E7CDC" w:rsidP="005E7CDC">
      <w:pPr>
        <w:numPr>
          <w:ilvl w:val="0"/>
          <w:numId w:val="22"/>
        </w:numPr>
        <w:spacing w:after="0" w:line="240" w:lineRule="auto"/>
        <w:textAlignment w:val="baseline"/>
        <w:rPr>
          <w:rFonts w:cs="Arial"/>
          <w:color w:val="000000"/>
          <w:sz w:val="20"/>
          <w:szCs w:val="20"/>
        </w:rPr>
      </w:pPr>
      <w:r w:rsidRPr="00C108DE">
        <w:rPr>
          <w:rFonts w:cs="Arial"/>
          <w:color w:val="000000"/>
          <w:sz w:val="20"/>
          <w:szCs w:val="20"/>
        </w:rPr>
        <w:t>Infant Care Education for Parents</w:t>
      </w:r>
    </w:p>
    <w:p w14:paraId="62856B31" w14:textId="77777777" w:rsidR="005E7CDC" w:rsidRPr="00C108DE" w:rsidRDefault="005E7CDC" w:rsidP="005E7CDC">
      <w:pPr>
        <w:numPr>
          <w:ilvl w:val="0"/>
          <w:numId w:val="22"/>
        </w:numPr>
        <w:spacing w:after="0" w:line="240" w:lineRule="auto"/>
        <w:textAlignment w:val="baseline"/>
        <w:rPr>
          <w:rFonts w:cs="Arial"/>
          <w:color w:val="000000"/>
          <w:sz w:val="20"/>
          <w:szCs w:val="20"/>
        </w:rPr>
      </w:pPr>
      <w:r w:rsidRPr="00C108DE">
        <w:rPr>
          <w:rFonts w:cs="Arial"/>
          <w:color w:val="000000"/>
          <w:sz w:val="20"/>
          <w:szCs w:val="20"/>
        </w:rPr>
        <w:t xml:space="preserve">NB </w:t>
      </w:r>
      <w:r w:rsidR="00C108DE" w:rsidRPr="00C108DE">
        <w:rPr>
          <w:rFonts w:cs="Arial"/>
          <w:color w:val="000000"/>
          <w:sz w:val="20"/>
          <w:szCs w:val="20"/>
        </w:rPr>
        <w:t>Labs</w:t>
      </w:r>
    </w:p>
    <w:p w14:paraId="336E2B77" w14:textId="77777777" w:rsidR="00E04E9B" w:rsidRDefault="005E7CDC" w:rsidP="00C108DE">
      <w:pPr>
        <w:numPr>
          <w:ilvl w:val="0"/>
          <w:numId w:val="22"/>
        </w:numPr>
        <w:spacing w:after="0" w:line="240" w:lineRule="auto"/>
        <w:textAlignment w:val="baseline"/>
        <w:rPr>
          <w:rFonts w:cs="Arial"/>
          <w:color w:val="000000"/>
          <w:sz w:val="20"/>
          <w:szCs w:val="20"/>
        </w:rPr>
      </w:pPr>
      <w:r w:rsidRPr="00C108DE">
        <w:rPr>
          <w:rFonts w:cs="Arial"/>
          <w:color w:val="000000"/>
          <w:sz w:val="20"/>
          <w:szCs w:val="20"/>
        </w:rPr>
        <w:t>Deviations from Nor</w:t>
      </w:r>
      <w:r w:rsidR="00C108DE">
        <w:rPr>
          <w:rFonts w:cs="Arial"/>
          <w:color w:val="000000"/>
          <w:sz w:val="20"/>
          <w:szCs w:val="20"/>
        </w:rPr>
        <w:t>mal</w:t>
      </w:r>
    </w:p>
    <w:p w14:paraId="248646F4" w14:textId="77777777" w:rsidR="00C108DE" w:rsidRPr="00C108DE" w:rsidRDefault="00C108DE" w:rsidP="00C108DE">
      <w:pPr>
        <w:spacing w:after="0" w:line="240" w:lineRule="auto"/>
        <w:textAlignment w:val="baseline"/>
        <w:rPr>
          <w:rFonts w:cs="Arial"/>
          <w:color w:val="000000"/>
          <w:sz w:val="20"/>
          <w:szCs w:val="20"/>
        </w:rPr>
      </w:pPr>
    </w:p>
    <w:bookmarkStart w:id="17" w:name="Assignments"/>
    <w:p w14:paraId="5837D764" w14:textId="12C162EE" w:rsidR="00D74159" w:rsidRDefault="00513FCC" w:rsidP="00217137">
      <w:pPr>
        <w:pStyle w:val="Heading3"/>
      </w:pPr>
      <w:r w:rsidRPr="00217137">
        <w:fldChar w:fldCharType="begin"/>
      </w:r>
      <w:r w:rsidRPr="00217137">
        <w:instrText xml:space="preserve"> HYPERLINK  \l "Assignments" \o "This course includes discussions, online quizzes, writing assignments and a semester-long QI project.  Full instructions are provided in the Canvas modules." </w:instrText>
      </w:r>
      <w:r w:rsidRPr="00217137">
        <w:fldChar w:fldCharType="separate"/>
      </w:r>
      <w:r w:rsidR="00413877" w:rsidRPr="00217137">
        <w:rPr>
          <w:rStyle w:val="Hyperlink"/>
        </w:rPr>
        <w:t>Course Assignments:</w:t>
      </w:r>
      <w:bookmarkEnd w:id="17"/>
      <w:r w:rsidRPr="00217137">
        <w:fldChar w:fldCharType="end"/>
      </w:r>
    </w:p>
    <w:p w14:paraId="714F0EB0" w14:textId="36AA44D8" w:rsidR="006A6BB0" w:rsidRPr="007C0300" w:rsidRDefault="007C0300" w:rsidP="006A6BB0">
      <w:pPr>
        <w:pStyle w:val="ListParagraph"/>
        <w:numPr>
          <w:ilvl w:val="0"/>
          <w:numId w:val="24"/>
        </w:numPr>
        <w:rPr>
          <w:b/>
          <w:i/>
          <w:color w:val="414042"/>
        </w:rPr>
      </w:pPr>
      <w:r>
        <w:rPr>
          <w:b/>
          <w:i/>
          <w:color w:val="414042"/>
        </w:rPr>
        <w:t>4</w:t>
      </w:r>
      <w:r w:rsidR="006A6BB0" w:rsidRPr="007C0300">
        <w:rPr>
          <w:b/>
          <w:i/>
          <w:color w:val="414042"/>
        </w:rPr>
        <w:t xml:space="preserve"> Exams</w:t>
      </w:r>
    </w:p>
    <w:p w14:paraId="00F35D58" w14:textId="5980A0EB" w:rsidR="006A6BB0" w:rsidRPr="004D28AB" w:rsidRDefault="00C43AAE" w:rsidP="00413877">
      <w:pPr>
        <w:pStyle w:val="ListParagraph"/>
        <w:numPr>
          <w:ilvl w:val="1"/>
          <w:numId w:val="23"/>
        </w:numPr>
        <w:rPr>
          <w:color w:val="auto"/>
          <w:sz w:val="20"/>
          <w:szCs w:val="20"/>
        </w:rPr>
      </w:pPr>
      <w:r w:rsidRPr="004D28AB">
        <w:rPr>
          <w:color w:val="auto"/>
          <w:sz w:val="20"/>
          <w:szCs w:val="20"/>
        </w:rPr>
        <w:t>These will each be cumulative</w:t>
      </w:r>
      <w:r w:rsidR="00927FBB" w:rsidRPr="004D28AB">
        <w:rPr>
          <w:color w:val="auto"/>
          <w:sz w:val="20"/>
          <w:szCs w:val="20"/>
        </w:rPr>
        <w:t>, though &gt;50% of each exam will be on the new material since the prior exam. These will be written in the format of you</w:t>
      </w:r>
      <w:r w:rsidR="00725908" w:rsidRPr="004D28AB">
        <w:rPr>
          <w:color w:val="auto"/>
          <w:sz w:val="20"/>
          <w:szCs w:val="20"/>
        </w:rPr>
        <w:t>r board exams to help you prepare to pass the progression exam in October and your board exams next year.</w:t>
      </w:r>
    </w:p>
    <w:p w14:paraId="438DDBE5" w14:textId="77777777" w:rsidR="00217137" w:rsidRPr="004D28AB" w:rsidRDefault="00217137" w:rsidP="00413877">
      <w:pPr>
        <w:pStyle w:val="ListParagraph"/>
        <w:numPr>
          <w:ilvl w:val="1"/>
          <w:numId w:val="23"/>
        </w:numPr>
        <w:rPr>
          <w:color w:val="auto"/>
          <w:sz w:val="20"/>
          <w:szCs w:val="20"/>
        </w:rPr>
      </w:pPr>
      <w:r w:rsidRPr="004D28AB">
        <w:rPr>
          <w:color w:val="auto"/>
          <w:sz w:val="20"/>
          <w:szCs w:val="20"/>
        </w:rPr>
        <w:t>In-Class 1 hour Exams:</w:t>
      </w:r>
    </w:p>
    <w:p w14:paraId="13509F8F" w14:textId="3439B1CA" w:rsidR="006A6BB0" w:rsidRPr="004D28AB" w:rsidRDefault="00C43AAE" w:rsidP="00217137">
      <w:pPr>
        <w:pStyle w:val="ListParagraph"/>
        <w:numPr>
          <w:ilvl w:val="2"/>
          <w:numId w:val="23"/>
        </w:numPr>
        <w:rPr>
          <w:color w:val="auto"/>
          <w:sz w:val="20"/>
          <w:szCs w:val="20"/>
        </w:rPr>
      </w:pPr>
      <w:r w:rsidRPr="004D28AB">
        <w:rPr>
          <w:color w:val="auto"/>
          <w:sz w:val="20"/>
          <w:szCs w:val="20"/>
        </w:rPr>
        <w:t>Exam 1: Feb 4th</w:t>
      </w:r>
      <w:r w:rsidR="006A6BB0" w:rsidRPr="004D28AB">
        <w:rPr>
          <w:color w:val="auto"/>
          <w:sz w:val="20"/>
          <w:szCs w:val="20"/>
          <w:vertAlign w:val="superscript"/>
        </w:rPr>
        <w:t>th</w:t>
      </w:r>
    </w:p>
    <w:p w14:paraId="1705F955" w14:textId="202BCF67" w:rsidR="006A6BB0" w:rsidRPr="004D28AB" w:rsidRDefault="006A6BB0" w:rsidP="00217137">
      <w:pPr>
        <w:pStyle w:val="ListParagraph"/>
        <w:numPr>
          <w:ilvl w:val="2"/>
          <w:numId w:val="23"/>
        </w:numPr>
        <w:rPr>
          <w:color w:val="auto"/>
          <w:sz w:val="20"/>
          <w:szCs w:val="20"/>
        </w:rPr>
      </w:pPr>
      <w:r w:rsidRPr="004D28AB">
        <w:rPr>
          <w:color w:val="auto"/>
          <w:sz w:val="20"/>
          <w:szCs w:val="20"/>
        </w:rPr>
        <w:t xml:space="preserve">Exam 2: </w:t>
      </w:r>
      <w:r w:rsidR="00C43AAE" w:rsidRPr="004D28AB">
        <w:rPr>
          <w:color w:val="auto"/>
          <w:sz w:val="20"/>
          <w:szCs w:val="20"/>
        </w:rPr>
        <w:t>March 3</w:t>
      </w:r>
      <w:r w:rsidR="00C43AAE" w:rsidRPr="004D28AB">
        <w:rPr>
          <w:color w:val="auto"/>
          <w:sz w:val="20"/>
          <w:szCs w:val="20"/>
          <w:vertAlign w:val="superscript"/>
        </w:rPr>
        <w:t>rd</w:t>
      </w:r>
    </w:p>
    <w:p w14:paraId="53AEEBDB" w14:textId="3297B3BA" w:rsidR="00C43AAE" w:rsidRPr="004D28AB" w:rsidRDefault="00C43AAE" w:rsidP="004D28AB">
      <w:pPr>
        <w:pStyle w:val="ListParagraph"/>
        <w:numPr>
          <w:ilvl w:val="2"/>
          <w:numId w:val="23"/>
        </w:numPr>
        <w:rPr>
          <w:color w:val="auto"/>
          <w:sz w:val="20"/>
          <w:szCs w:val="20"/>
        </w:rPr>
      </w:pPr>
      <w:r w:rsidRPr="004D28AB">
        <w:rPr>
          <w:color w:val="auto"/>
          <w:sz w:val="20"/>
          <w:szCs w:val="20"/>
        </w:rPr>
        <w:t>Exam 3: April 7</w:t>
      </w:r>
      <w:r w:rsidRPr="004D28AB">
        <w:rPr>
          <w:color w:val="auto"/>
          <w:sz w:val="20"/>
          <w:szCs w:val="20"/>
          <w:vertAlign w:val="superscript"/>
        </w:rPr>
        <w:t>th</w:t>
      </w:r>
    </w:p>
    <w:p w14:paraId="00D6B7DF" w14:textId="77777777" w:rsidR="004D28AB" w:rsidRPr="004D28AB" w:rsidRDefault="004D28AB" w:rsidP="004D28AB">
      <w:pPr>
        <w:pStyle w:val="ListParagraph"/>
        <w:ind w:left="2160" w:firstLine="0"/>
        <w:rPr>
          <w:color w:val="auto"/>
          <w:sz w:val="20"/>
          <w:szCs w:val="20"/>
        </w:rPr>
      </w:pPr>
    </w:p>
    <w:p w14:paraId="2931DCA4" w14:textId="77777777" w:rsidR="00217137" w:rsidRPr="004D28AB" w:rsidRDefault="00217137" w:rsidP="00413877">
      <w:pPr>
        <w:pStyle w:val="ListParagraph"/>
        <w:numPr>
          <w:ilvl w:val="1"/>
          <w:numId w:val="23"/>
        </w:numPr>
        <w:rPr>
          <w:color w:val="auto"/>
          <w:sz w:val="20"/>
          <w:szCs w:val="20"/>
        </w:rPr>
      </w:pPr>
      <w:r w:rsidRPr="004D28AB">
        <w:rPr>
          <w:color w:val="auto"/>
          <w:sz w:val="20"/>
          <w:szCs w:val="20"/>
        </w:rPr>
        <w:t>Cumulative, 2-hour Final Exam</w:t>
      </w:r>
      <w:r w:rsidR="00D74159" w:rsidRPr="004D28AB">
        <w:rPr>
          <w:color w:val="auto"/>
          <w:sz w:val="20"/>
          <w:szCs w:val="20"/>
        </w:rPr>
        <w:t xml:space="preserve">: </w:t>
      </w:r>
    </w:p>
    <w:p w14:paraId="01E3031A" w14:textId="4FDA2209" w:rsidR="00D74159" w:rsidRPr="004D28AB" w:rsidRDefault="00D74159" w:rsidP="00217137">
      <w:pPr>
        <w:pStyle w:val="ListParagraph"/>
        <w:numPr>
          <w:ilvl w:val="2"/>
          <w:numId w:val="23"/>
        </w:numPr>
        <w:rPr>
          <w:color w:val="auto"/>
          <w:sz w:val="20"/>
          <w:szCs w:val="20"/>
        </w:rPr>
      </w:pPr>
      <w:proofErr w:type="gramStart"/>
      <w:r w:rsidRPr="004D28AB">
        <w:rPr>
          <w:color w:val="auto"/>
          <w:sz w:val="20"/>
          <w:szCs w:val="20"/>
        </w:rPr>
        <w:t>during</w:t>
      </w:r>
      <w:proofErr w:type="gramEnd"/>
      <w:r w:rsidRPr="004D28AB">
        <w:rPr>
          <w:color w:val="auto"/>
          <w:sz w:val="20"/>
          <w:szCs w:val="20"/>
        </w:rPr>
        <w:t xml:space="preserve"> the final exam</w:t>
      </w:r>
      <w:r w:rsidR="00C43AAE" w:rsidRPr="004D28AB">
        <w:rPr>
          <w:color w:val="auto"/>
          <w:sz w:val="20"/>
          <w:szCs w:val="20"/>
        </w:rPr>
        <w:t xml:space="preserve"> period, April 23-April 29</w:t>
      </w:r>
      <w:r w:rsidRPr="004D28AB">
        <w:rPr>
          <w:color w:val="auto"/>
          <w:sz w:val="20"/>
          <w:szCs w:val="20"/>
        </w:rPr>
        <w:t xml:space="preserve">. </w:t>
      </w:r>
    </w:p>
    <w:p w14:paraId="7CFAC07A" w14:textId="77777777" w:rsidR="00904E2E" w:rsidRPr="004D28AB" w:rsidRDefault="00904E2E" w:rsidP="00904E2E">
      <w:pPr>
        <w:pStyle w:val="ListParagraph"/>
        <w:ind w:left="1440" w:firstLine="0"/>
        <w:rPr>
          <w:color w:val="auto"/>
        </w:rPr>
      </w:pPr>
    </w:p>
    <w:p w14:paraId="558E76C7" w14:textId="2B35B0AD" w:rsidR="00C43AAE" w:rsidRDefault="00C43AAE" w:rsidP="00591964">
      <w:pPr>
        <w:pStyle w:val="ListParagraph"/>
        <w:numPr>
          <w:ilvl w:val="0"/>
          <w:numId w:val="23"/>
        </w:numPr>
        <w:rPr>
          <w:color w:val="auto"/>
          <w:sz w:val="20"/>
          <w:szCs w:val="20"/>
        </w:rPr>
      </w:pPr>
      <w:r w:rsidRPr="004D28AB">
        <w:rPr>
          <w:b/>
          <w:i/>
          <w:color w:val="auto"/>
        </w:rPr>
        <w:t>PP Cheat Sheet</w:t>
      </w:r>
      <w:r w:rsidRPr="004D28AB">
        <w:rPr>
          <w:color w:val="auto"/>
        </w:rPr>
        <w:t xml:space="preserve">: </w:t>
      </w:r>
      <w:r w:rsidRPr="004D28AB">
        <w:rPr>
          <w:color w:val="auto"/>
          <w:sz w:val="20"/>
          <w:szCs w:val="20"/>
        </w:rPr>
        <w:t>you will craft a cheat sheet that fits in a scrub pocket for the inpatient PP exam and all teaching topics you need to cover</w:t>
      </w:r>
    </w:p>
    <w:p w14:paraId="6897CF18" w14:textId="29E1FAD7" w:rsidR="006B4C97" w:rsidRPr="004D28AB" w:rsidRDefault="006B4C97" w:rsidP="006B4C97">
      <w:pPr>
        <w:pStyle w:val="ListParagraph"/>
        <w:numPr>
          <w:ilvl w:val="1"/>
          <w:numId w:val="23"/>
        </w:numPr>
        <w:rPr>
          <w:color w:val="auto"/>
          <w:sz w:val="20"/>
          <w:szCs w:val="20"/>
        </w:rPr>
      </w:pPr>
      <w:proofErr w:type="gramStart"/>
      <w:r>
        <w:rPr>
          <w:color w:val="auto"/>
          <w:sz w:val="20"/>
          <w:szCs w:val="20"/>
        </w:rPr>
        <w:t>due</w:t>
      </w:r>
      <w:proofErr w:type="gramEnd"/>
      <w:r>
        <w:rPr>
          <w:color w:val="auto"/>
          <w:sz w:val="20"/>
          <w:szCs w:val="20"/>
        </w:rPr>
        <w:t xml:space="preserve"> Sun, Jan 12th</w:t>
      </w:r>
    </w:p>
    <w:p w14:paraId="5AB85EFC" w14:textId="77777777" w:rsidR="00C43AAE" w:rsidRPr="004D28AB" w:rsidRDefault="00C43AAE" w:rsidP="00C43AAE">
      <w:pPr>
        <w:pStyle w:val="ListParagraph"/>
        <w:ind w:firstLine="0"/>
        <w:rPr>
          <w:color w:val="auto"/>
          <w:sz w:val="20"/>
          <w:szCs w:val="20"/>
        </w:rPr>
      </w:pPr>
    </w:p>
    <w:p w14:paraId="17EEF5D5" w14:textId="37458DA8" w:rsidR="007870EB" w:rsidRDefault="00904E2E" w:rsidP="00591964">
      <w:pPr>
        <w:pStyle w:val="ListParagraph"/>
        <w:numPr>
          <w:ilvl w:val="0"/>
          <w:numId w:val="23"/>
        </w:numPr>
        <w:rPr>
          <w:color w:val="auto"/>
          <w:sz w:val="20"/>
          <w:szCs w:val="20"/>
        </w:rPr>
      </w:pPr>
      <w:r w:rsidRPr="004D28AB">
        <w:rPr>
          <w:b/>
          <w:i/>
          <w:color w:val="auto"/>
        </w:rPr>
        <w:lastRenderedPageBreak/>
        <w:t>Peripheral Brain SOAP Note Presentations</w:t>
      </w:r>
      <w:r w:rsidRPr="004D28AB">
        <w:rPr>
          <w:color w:val="auto"/>
        </w:rPr>
        <w:t xml:space="preserve">: </w:t>
      </w:r>
      <w:r w:rsidR="00AB4D4A" w:rsidRPr="004D28AB">
        <w:rPr>
          <w:color w:val="auto"/>
          <w:sz w:val="20"/>
          <w:szCs w:val="20"/>
        </w:rPr>
        <w:t>you will be assigned a postpartum maternal and newborn complication</w:t>
      </w:r>
      <w:r w:rsidRPr="004D28AB">
        <w:rPr>
          <w:color w:val="auto"/>
          <w:sz w:val="20"/>
          <w:szCs w:val="20"/>
        </w:rPr>
        <w:t xml:space="preserve"> on which to assemble a </w:t>
      </w:r>
      <w:r w:rsidR="003743B5" w:rsidRPr="004D28AB">
        <w:rPr>
          <w:color w:val="auto"/>
          <w:sz w:val="20"/>
          <w:szCs w:val="20"/>
        </w:rPr>
        <w:t xml:space="preserve">Peripheral Brain SOAP note. </w:t>
      </w:r>
      <w:r w:rsidR="00AB4D4A" w:rsidRPr="004D28AB">
        <w:rPr>
          <w:color w:val="auto"/>
          <w:sz w:val="20"/>
          <w:szCs w:val="20"/>
        </w:rPr>
        <w:t xml:space="preserve">Questions to guide this assignment will be available in Canvas. </w:t>
      </w:r>
      <w:r w:rsidR="003743B5" w:rsidRPr="004D28AB">
        <w:rPr>
          <w:color w:val="auto"/>
          <w:sz w:val="20"/>
          <w:szCs w:val="20"/>
        </w:rPr>
        <w:t>You will turn this in and it</w:t>
      </w:r>
      <w:r w:rsidRPr="004D28AB">
        <w:rPr>
          <w:color w:val="auto"/>
          <w:sz w:val="20"/>
          <w:szCs w:val="20"/>
        </w:rPr>
        <w:t xml:space="preserve"> will be shared with your classmates for their peripheral brains via Can</w:t>
      </w:r>
      <w:r w:rsidR="003743B5" w:rsidRPr="004D28AB">
        <w:rPr>
          <w:color w:val="auto"/>
          <w:sz w:val="20"/>
          <w:szCs w:val="20"/>
        </w:rPr>
        <w:t xml:space="preserve">vas. You will present your </w:t>
      </w:r>
      <w:r w:rsidR="00591964" w:rsidRPr="004D28AB">
        <w:rPr>
          <w:color w:val="auto"/>
          <w:sz w:val="20"/>
          <w:szCs w:val="20"/>
        </w:rPr>
        <w:t xml:space="preserve">topic and </w:t>
      </w:r>
      <w:r w:rsidR="003743B5" w:rsidRPr="004D28AB">
        <w:rPr>
          <w:color w:val="auto"/>
          <w:sz w:val="20"/>
          <w:szCs w:val="20"/>
        </w:rPr>
        <w:t>SOAP note</w:t>
      </w:r>
      <w:r w:rsidRPr="004D28AB">
        <w:rPr>
          <w:color w:val="auto"/>
          <w:sz w:val="20"/>
          <w:szCs w:val="20"/>
        </w:rPr>
        <w:t xml:space="preserve"> to the class. The purpose of this is to identify the risk factors and </w:t>
      </w:r>
      <w:proofErr w:type="spellStart"/>
      <w:r w:rsidRPr="004D28AB">
        <w:rPr>
          <w:color w:val="auto"/>
          <w:sz w:val="20"/>
          <w:szCs w:val="20"/>
        </w:rPr>
        <w:t>pt</w:t>
      </w:r>
      <w:proofErr w:type="spellEnd"/>
      <w:r w:rsidRPr="004D28AB">
        <w:rPr>
          <w:color w:val="auto"/>
          <w:sz w:val="20"/>
          <w:szCs w:val="20"/>
        </w:rPr>
        <w:t xml:space="preserve"> symptoms (S), signs</w:t>
      </w:r>
      <w:r w:rsidR="00C43AAE" w:rsidRPr="004D28AB">
        <w:rPr>
          <w:color w:val="auto"/>
          <w:sz w:val="20"/>
          <w:szCs w:val="20"/>
        </w:rPr>
        <w:t xml:space="preserve"> (O),</w:t>
      </w:r>
      <w:r w:rsidRPr="004D28AB">
        <w:rPr>
          <w:color w:val="auto"/>
          <w:sz w:val="20"/>
          <w:szCs w:val="20"/>
        </w:rPr>
        <w:t xml:space="preserve"> differential diagnoses (A), and </w:t>
      </w:r>
      <w:r w:rsidR="00C43AAE" w:rsidRPr="004D28AB">
        <w:rPr>
          <w:color w:val="auto"/>
          <w:sz w:val="20"/>
          <w:szCs w:val="20"/>
        </w:rPr>
        <w:t xml:space="preserve">plan for labs/imaging and </w:t>
      </w:r>
      <w:r w:rsidRPr="004D28AB">
        <w:rPr>
          <w:color w:val="auto"/>
          <w:sz w:val="20"/>
          <w:szCs w:val="20"/>
        </w:rPr>
        <w:t>treatment options (P) associated with a complication. Think about what you want to know when standing in front of a patient or triaging a patient phone call; this is what should be in your SOAP note for that topic.</w:t>
      </w:r>
    </w:p>
    <w:p w14:paraId="5D60C599" w14:textId="7461D1BB" w:rsidR="006B4C97" w:rsidRDefault="006B4C97" w:rsidP="006B4C97">
      <w:pPr>
        <w:pStyle w:val="ListParagraph"/>
        <w:numPr>
          <w:ilvl w:val="1"/>
          <w:numId w:val="23"/>
        </w:numPr>
        <w:rPr>
          <w:color w:val="auto"/>
          <w:sz w:val="20"/>
          <w:szCs w:val="20"/>
        </w:rPr>
      </w:pPr>
      <w:r w:rsidRPr="006B4C97">
        <w:rPr>
          <w:color w:val="auto"/>
          <w:sz w:val="20"/>
          <w:szCs w:val="20"/>
        </w:rPr>
        <w:t>Maternal Complications</w:t>
      </w:r>
      <w:r>
        <w:rPr>
          <w:color w:val="auto"/>
          <w:sz w:val="20"/>
          <w:szCs w:val="20"/>
        </w:rPr>
        <w:t>: 3 presentations on Jan 14</w:t>
      </w:r>
      <w:r w:rsidRPr="006B4C97">
        <w:rPr>
          <w:color w:val="auto"/>
          <w:sz w:val="20"/>
          <w:szCs w:val="20"/>
          <w:vertAlign w:val="superscript"/>
        </w:rPr>
        <w:t>th</w:t>
      </w:r>
      <w:r>
        <w:rPr>
          <w:color w:val="auto"/>
          <w:sz w:val="20"/>
          <w:szCs w:val="20"/>
        </w:rPr>
        <w:t>, 3 on Jan 21</w:t>
      </w:r>
      <w:r w:rsidRPr="006B4C97">
        <w:rPr>
          <w:color w:val="auto"/>
          <w:sz w:val="20"/>
          <w:szCs w:val="20"/>
          <w:vertAlign w:val="superscript"/>
        </w:rPr>
        <w:t>st</w:t>
      </w:r>
      <w:r>
        <w:rPr>
          <w:color w:val="auto"/>
          <w:sz w:val="20"/>
          <w:szCs w:val="20"/>
        </w:rPr>
        <w:t xml:space="preserve">, and </w:t>
      </w:r>
      <w:r w:rsidR="0063646D">
        <w:rPr>
          <w:color w:val="auto"/>
          <w:sz w:val="20"/>
          <w:szCs w:val="20"/>
        </w:rPr>
        <w:t>6 on Jan 28</w:t>
      </w:r>
      <w:r w:rsidR="0063646D" w:rsidRPr="0063646D">
        <w:rPr>
          <w:color w:val="auto"/>
          <w:sz w:val="20"/>
          <w:szCs w:val="20"/>
          <w:vertAlign w:val="superscript"/>
        </w:rPr>
        <w:t>th</w:t>
      </w:r>
    </w:p>
    <w:p w14:paraId="6DEB3BCB" w14:textId="0B8D62EE" w:rsidR="0063646D" w:rsidRPr="006B4C97" w:rsidRDefault="0063646D" w:rsidP="006B4C97">
      <w:pPr>
        <w:pStyle w:val="ListParagraph"/>
        <w:numPr>
          <w:ilvl w:val="1"/>
          <w:numId w:val="23"/>
        </w:numPr>
        <w:rPr>
          <w:color w:val="auto"/>
          <w:sz w:val="20"/>
          <w:szCs w:val="20"/>
        </w:rPr>
      </w:pPr>
      <w:r>
        <w:rPr>
          <w:color w:val="auto"/>
          <w:sz w:val="20"/>
          <w:szCs w:val="20"/>
        </w:rPr>
        <w:t>NB Complications: 3 presentations on Mar 17</w:t>
      </w:r>
      <w:r w:rsidRPr="0063646D">
        <w:rPr>
          <w:color w:val="auto"/>
          <w:sz w:val="20"/>
          <w:szCs w:val="20"/>
          <w:vertAlign w:val="superscript"/>
        </w:rPr>
        <w:t>th</w:t>
      </w:r>
      <w:r>
        <w:rPr>
          <w:color w:val="auto"/>
          <w:sz w:val="20"/>
          <w:szCs w:val="20"/>
        </w:rPr>
        <w:t>, 3 on Mar 24</w:t>
      </w:r>
      <w:r w:rsidRPr="0063646D">
        <w:rPr>
          <w:color w:val="auto"/>
          <w:sz w:val="20"/>
          <w:szCs w:val="20"/>
          <w:vertAlign w:val="superscript"/>
        </w:rPr>
        <w:t>th</w:t>
      </w:r>
      <w:r>
        <w:rPr>
          <w:color w:val="auto"/>
          <w:sz w:val="20"/>
          <w:szCs w:val="20"/>
        </w:rPr>
        <w:t>, 4 on Mar 31st</w:t>
      </w:r>
    </w:p>
    <w:p w14:paraId="1A676A03" w14:textId="77777777" w:rsidR="00904E2E" w:rsidRPr="004D28AB" w:rsidRDefault="00904E2E" w:rsidP="00904E2E">
      <w:pPr>
        <w:pStyle w:val="ListParagraph"/>
        <w:ind w:firstLine="0"/>
        <w:rPr>
          <w:color w:val="auto"/>
        </w:rPr>
      </w:pPr>
      <w:bookmarkStart w:id="18" w:name="_GoBack"/>
      <w:bookmarkEnd w:id="18"/>
    </w:p>
    <w:p w14:paraId="5AA161F5" w14:textId="77777777" w:rsidR="00C43AAE" w:rsidRPr="004D28AB" w:rsidRDefault="00904E2E" w:rsidP="00591964">
      <w:pPr>
        <w:pStyle w:val="ListParagraph"/>
        <w:numPr>
          <w:ilvl w:val="0"/>
          <w:numId w:val="23"/>
        </w:numPr>
        <w:spacing w:after="0"/>
        <w:rPr>
          <w:color w:val="auto"/>
        </w:rPr>
      </w:pPr>
      <w:r w:rsidRPr="004D28AB">
        <w:rPr>
          <w:b/>
          <w:i/>
          <w:color w:val="auto"/>
        </w:rPr>
        <w:t>Reading Worksheets</w:t>
      </w:r>
      <w:r w:rsidRPr="004D28AB">
        <w:rPr>
          <w:color w:val="auto"/>
        </w:rPr>
        <w:t xml:space="preserve">: </w:t>
      </w:r>
      <w:r w:rsidRPr="004D28AB">
        <w:rPr>
          <w:color w:val="auto"/>
          <w:sz w:val="20"/>
          <w:szCs w:val="20"/>
        </w:rPr>
        <w:t>these are</w:t>
      </w:r>
      <w:r w:rsidR="004045BD" w:rsidRPr="004D28AB">
        <w:rPr>
          <w:color w:val="auto"/>
          <w:sz w:val="20"/>
          <w:szCs w:val="20"/>
        </w:rPr>
        <w:t xml:space="preserve"> designed to maximize your learning from the reading, to </w:t>
      </w:r>
      <w:r w:rsidR="00591964" w:rsidRPr="004D28AB">
        <w:rPr>
          <w:color w:val="auto"/>
          <w:sz w:val="20"/>
          <w:szCs w:val="20"/>
        </w:rPr>
        <w:t xml:space="preserve">help you </w:t>
      </w:r>
      <w:r w:rsidR="004045BD" w:rsidRPr="004D28AB">
        <w:rPr>
          <w:color w:val="auto"/>
          <w:sz w:val="20"/>
          <w:szCs w:val="20"/>
        </w:rPr>
        <w:t>focus on the important take-</w:t>
      </w:r>
      <w:proofErr w:type="spellStart"/>
      <w:r w:rsidR="004045BD" w:rsidRPr="004D28AB">
        <w:rPr>
          <w:color w:val="auto"/>
          <w:sz w:val="20"/>
          <w:szCs w:val="20"/>
        </w:rPr>
        <w:t>aways</w:t>
      </w:r>
      <w:proofErr w:type="spellEnd"/>
      <w:r w:rsidR="004045BD" w:rsidRPr="004D28AB">
        <w:rPr>
          <w:color w:val="auto"/>
          <w:sz w:val="20"/>
          <w:szCs w:val="20"/>
        </w:rPr>
        <w:t>,</w:t>
      </w:r>
      <w:r w:rsidRPr="004D28AB">
        <w:rPr>
          <w:color w:val="auto"/>
          <w:sz w:val="20"/>
          <w:szCs w:val="20"/>
        </w:rPr>
        <w:t xml:space="preserve"> and to come to class prepared</w:t>
      </w:r>
      <w:r w:rsidR="003A214E" w:rsidRPr="004D28AB">
        <w:rPr>
          <w:color w:val="auto"/>
          <w:sz w:val="20"/>
          <w:szCs w:val="20"/>
        </w:rPr>
        <w:t xml:space="preserve"> for discussion, case studies, and other in-class activities. </w:t>
      </w:r>
      <w:r w:rsidR="00416E61" w:rsidRPr="004D28AB">
        <w:rPr>
          <w:color w:val="auto"/>
          <w:sz w:val="20"/>
          <w:szCs w:val="20"/>
        </w:rPr>
        <w:t xml:space="preserve">Additionally, these make great study guides for exams. You will turn these in via Canvas prior to class. We will go over them in class and you will have a chance to edit them, add to them, </w:t>
      </w:r>
      <w:proofErr w:type="gramStart"/>
      <w:r w:rsidR="00416E61" w:rsidRPr="004D28AB">
        <w:rPr>
          <w:color w:val="auto"/>
          <w:sz w:val="20"/>
          <w:szCs w:val="20"/>
        </w:rPr>
        <w:t>make</w:t>
      </w:r>
      <w:proofErr w:type="gramEnd"/>
      <w:r w:rsidR="00416E61" w:rsidRPr="004D28AB">
        <w:rPr>
          <w:color w:val="auto"/>
          <w:sz w:val="20"/>
          <w:szCs w:val="20"/>
        </w:rPr>
        <w:t xml:space="preserve"> them very useful for your peripheral brain.</w:t>
      </w:r>
      <w:r w:rsidR="00416E61" w:rsidRPr="004D28AB">
        <w:rPr>
          <w:color w:val="auto"/>
        </w:rPr>
        <w:t xml:space="preserve"> </w:t>
      </w:r>
    </w:p>
    <w:p w14:paraId="05FD10D5" w14:textId="77777777" w:rsidR="00C43AAE" w:rsidRPr="004D28AB" w:rsidRDefault="00C43AAE" w:rsidP="00C43AAE">
      <w:pPr>
        <w:spacing w:after="0"/>
      </w:pPr>
    </w:p>
    <w:p w14:paraId="0ABC6F95" w14:textId="6CBB0DE4" w:rsidR="00591964" w:rsidRPr="006B4C97" w:rsidRDefault="00C43AAE" w:rsidP="00591964">
      <w:pPr>
        <w:pStyle w:val="ListParagraph"/>
        <w:numPr>
          <w:ilvl w:val="0"/>
          <w:numId w:val="23"/>
        </w:numPr>
        <w:spacing w:after="0"/>
        <w:rPr>
          <w:color w:val="auto"/>
        </w:rPr>
      </w:pPr>
      <w:r w:rsidRPr="004D28AB">
        <w:rPr>
          <w:b/>
          <w:i/>
          <w:color w:val="auto"/>
        </w:rPr>
        <w:t>Common Discomforts</w:t>
      </w:r>
      <w:r w:rsidR="00217137" w:rsidRPr="004D28AB">
        <w:rPr>
          <w:b/>
          <w:i/>
          <w:color w:val="auto"/>
        </w:rPr>
        <w:t>/Conditions</w:t>
      </w:r>
      <w:r w:rsidRPr="004D28AB">
        <w:rPr>
          <w:b/>
          <w:i/>
          <w:color w:val="auto"/>
        </w:rPr>
        <w:t xml:space="preserve"> Charts: </w:t>
      </w:r>
      <w:r w:rsidRPr="004D28AB">
        <w:rPr>
          <w:color w:val="auto"/>
          <w:sz w:val="20"/>
          <w:szCs w:val="20"/>
        </w:rPr>
        <w:t>you will complete a general PP maternal discomforts chart</w:t>
      </w:r>
      <w:r w:rsidR="00217137" w:rsidRPr="004D28AB">
        <w:rPr>
          <w:color w:val="auto"/>
          <w:sz w:val="20"/>
          <w:szCs w:val="20"/>
        </w:rPr>
        <w:t xml:space="preserve"> as well as a lactation discomforts/conditions chart tha</w:t>
      </w:r>
      <w:r w:rsidR="006B4C97">
        <w:rPr>
          <w:color w:val="auto"/>
          <w:sz w:val="20"/>
          <w:szCs w:val="20"/>
        </w:rPr>
        <w:t>t includes the cause of each</w:t>
      </w:r>
      <w:r w:rsidR="00217137" w:rsidRPr="004D28AB">
        <w:rPr>
          <w:color w:val="auto"/>
          <w:sz w:val="20"/>
          <w:szCs w:val="20"/>
        </w:rPr>
        <w:t xml:space="preserve"> and the recommended </w:t>
      </w:r>
      <w:proofErr w:type="spellStart"/>
      <w:r w:rsidR="00217137" w:rsidRPr="004D28AB">
        <w:rPr>
          <w:color w:val="auto"/>
          <w:sz w:val="20"/>
          <w:szCs w:val="20"/>
        </w:rPr>
        <w:t>tx</w:t>
      </w:r>
      <w:proofErr w:type="spellEnd"/>
      <w:r w:rsidR="00217137" w:rsidRPr="004D28AB">
        <w:rPr>
          <w:color w:val="auto"/>
          <w:sz w:val="20"/>
          <w:szCs w:val="20"/>
        </w:rPr>
        <w:t>/</w:t>
      </w:r>
      <w:proofErr w:type="spellStart"/>
      <w:r w:rsidR="00217137" w:rsidRPr="004D28AB">
        <w:rPr>
          <w:color w:val="auto"/>
          <w:sz w:val="20"/>
          <w:szCs w:val="20"/>
        </w:rPr>
        <w:t>pt</w:t>
      </w:r>
      <w:proofErr w:type="spellEnd"/>
      <w:r w:rsidR="00217137" w:rsidRPr="004D28AB">
        <w:rPr>
          <w:color w:val="auto"/>
          <w:sz w:val="20"/>
          <w:szCs w:val="20"/>
        </w:rPr>
        <w:t xml:space="preserve"> education for each. </w:t>
      </w:r>
    </w:p>
    <w:p w14:paraId="416F44B0" w14:textId="77777777" w:rsidR="006B4C97" w:rsidRPr="006B4C97" w:rsidRDefault="006B4C97" w:rsidP="006B4C97">
      <w:pPr>
        <w:spacing w:after="0"/>
      </w:pPr>
    </w:p>
    <w:p w14:paraId="0440B513" w14:textId="21854CA5" w:rsidR="006B4C97" w:rsidRDefault="006B4C97" w:rsidP="006B4C97">
      <w:pPr>
        <w:pStyle w:val="ListParagraph"/>
        <w:numPr>
          <w:ilvl w:val="1"/>
          <w:numId w:val="23"/>
        </w:numPr>
        <w:spacing w:after="0"/>
        <w:rPr>
          <w:color w:val="auto"/>
          <w:sz w:val="20"/>
          <w:szCs w:val="20"/>
        </w:rPr>
      </w:pPr>
      <w:r w:rsidRPr="006B4C97">
        <w:rPr>
          <w:color w:val="auto"/>
          <w:sz w:val="20"/>
          <w:szCs w:val="20"/>
        </w:rPr>
        <w:t>Maternal PP Discomforts</w:t>
      </w:r>
      <w:r>
        <w:rPr>
          <w:color w:val="auto"/>
          <w:sz w:val="20"/>
          <w:szCs w:val="20"/>
        </w:rPr>
        <w:t>- due January 21</w:t>
      </w:r>
    </w:p>
    <w:p w14:paraId="5F10C5E8" w14:textId="76B06822" w:rsidR="006B4C97" w:rsidRPr="006B4C97" w:rsidRDefault="006B4C97" w:rsidP="006B4C97">
      <w:pPr>
        <w:pStyle w:val="ListParagraph"/>
        <w:numPr>
          <w:ilvl w:val="1"/>
          <w:numId w:val="23"/>
        </w:numPr>
        <w:spacing w:after="0"/>
        <w:rPr>
          <w:color w:val="auto"/>
          <w:sz w:val="20"/>
          <w:szCs w:val="20"/>
        </w:rPr>
      </w:pPr>
      <w:r>
        <w:rPr>
          <w:color w:val="auto"/>
          <w:sz w:val="20"/>
          <w:szCs w:val="20"/>
        </w:rPr>
        <w:t>Lactation Discomforts/Conditions- due Feb 25th</w:t>
      </w:r>
    </w:p>
    <w:p w14:paraId="5537A04F" w14:textId="77777777" w:rsidR="00217137" w:rsidRPr="004D28AB" w:rsidRDefault="00217137" w:rsidP="00217137">
      <w:pPr>
        <w:spacing w:after="0"/>
      </w:pPr>
    </w:p>
    <w:p w14:paraId="063FB60C" w14:textId="42EDF1D7" w:rsidR="00217137" w:rsidRPr="004D28AB" w:rsidRDefault="00217137" w:rsidP="00591964">
      <w:pPr>
        <w:pStyle w:val="ListParagraph"/>
        <w:numPr>
          <w:ilvl w:val="0"/>
          <w:numId w:val="23"/>
        </w:numPr>
        <w:spacing w:after="0"/>
        <w:rPr>
          <w:color w:val="auto"/>
        </w:rPr>
      </w:pPr>
      <w:r w:rsidRPr="004D28AB">
        <w:rPr>
          <w:b/>
          <w:i/>
          <w:color w:val="auto"/>
        </w:rPr>
        <w:t>Weekly Quizzes</w:t>
      </w:r>
      <w:r w:rsidRPr="004D28AB">
        <w:rPr>
          <w:color w:val="auto"/>
        </w:rPr>
        <w:t xml:space="preserve">: </w:t>
      </w:r>
      <w:r w:rsidRPr="004D28AB">
        <w:rPr>
          <w:color w:val="auto"/>
          <w:sz w:val="20"/>
          <w:szCs w:val="20"/>
        </w:rPr>
        <w:t>Cognitive research shows that practicing retrieving inf</w:t>
      </w:r>
      <w:r w:rsidR="00580A7A">
        <w:rPr>
          <w:color w:val="auto"/>
          <w:sz w:val="20"/>
          <w:szCs w:val="20"/>
        </w:rPr>
        <w:t xml:space="preserve">ormation from your memory forms a neural pathway to that information that makes it more accessible in other contexts and stores it in long-term memory. Additionally, </w:t>
      </w:r>
      <w:r w:rsidRPr="004D28AB">
        <w:rPr>
          <w:color w:val="auto"/>
          <w:sz w:val="20"/>
          <w:szCs w:val="20"/>
        </w:rPr>
        <w:t xml:space="preserve">the process of prediction paves </w:t>
      </w:r>
      <w:r w:rsidR="00580A7A">
        <w:rPr>
          <w:color w:val="auto"/>
          <w:sz w:val="20"/>
          <w:szCs w:val="20"/>
        </w:rPr>
        <w:t xml:space="preserve">the </w:t>
      </w:r>
      <w:r w:rsidRPr="004D28AB">
        <w:rPr>
          <w:color w:val="auto"/>
          <w:sz w:val="20"/>
          <w:szCs w:val="20"/>
        </w:rPr>
        <w:t>way for knowledge to have a place in our brains</w:t>
      </w:r>
      <w:r w:rsidR="00580A7A">
        <w:rPr>
          <w:color w:val="auto"/>
          <w:sz w:val="20"/>
          <w:szCs w:val="20"/>
        </w:rPr>
        <w:t xml:space="preserve"> and to be connected to other knowledge (known as comprehension or understanding)</w:t>
      </w:r>
      <w:r w:rsidRPr="004D28AB">
        <w:rPr>
          <w:color w:val="auto"/>
          <w:sz w:val="20"/>
          <w:szCs w:val="20"/>
        </w:rPr>
        <w:t>. Thus, we will start each class with a short</w:t>
      </w:r>
      <w:r w:rsidR="00580A7A">
        <w:rPr>
          <w:color w:val="auto"/>
          <w:sz w:val="20"/>
          <w:szCs w:val="20"/>
        </w:rPr>
        <w:t xml:space="preserve"> ungraded</w:t>
      </w:r>
      <w:r w:rsidRPr="004D28AB">
        <w:rPr>
          <w:color w:val="auto"/>
          <w:sz w:val="20"/>
          <w:szCs w:val="20"/>
        </w:rPr>
        <w:t xml:space="preserve"> pre-test</w:t>
      </w:r>
      <w:r w:rsidR="00580A7A">
        <w:rPr>
          <w:color w:val="auto"/>
          <w:sz w:val="20"/>
          <w:szCs w:val="20"/>
        </w:rPr>
        <w:t>,</w:t>
      </w:r>
      <w:r w:rsidRPr="004D28AB">
        <w:rPr>
          <w:color w:val="auto"/>
          <w:sz w:val="20"/>
          <w:szCs w:val="20"/>
        </w:rPr>
        <w:t xml:space="preserve"> and</w:t>
      </w:r>
      <w:r w:rsidR="00580A7A">
        <w:rPr>
          <w:color w:val="auto"/>
          <w:sz w:val="20"/>
          <w:szCs w:val="20"/>
        </w:rPr>
        <w:t xml:space="preserve"> you will have a short post-class quiz</w:t>
      </w:r>
      <w:r w:rsidRPr="004D28AB">
        <w:rPr>
          <w:color w:val="auto"/>
          <w:sz w:val="20"/>
          <w:szCs w:val="20"/>
        </w:rPr>
        <w:t xml:space="preserve">. Each quiz will include </w:t>
      </w:r>
      <w:r w:rsidR="00580A7A">
        <w:rPr>
          <w:color w:val="auto"/>
          <w:sz w:val="20"/>
          <w:szCs w:val="20"/>
        </w:rPr>
        <w:t xml:space="preserve">a couple questions on </w:t>
      </w:r>
      <w:r w:rsidRPr="004D28AB">
        <w:rPr>
          <w:color w:val="auto"/>
          <w:sz w:val="20"/>
          <w:szCs w:val="20"/>
        </w:rPr>
        <w:t>prior content</w:t>
      </w:r>
      <w:r w:rsidR="00580A7A">
        <w:rPr>
          <w:color w:val="auto"/>
          <w:sz w:val="20"/>
          <w:szCs w:val="20"/>
        </w:rPr>
        <w:t>,</w:t>
      </w:r>
      <w:r w:rsidRPr="004D28AB">
        <w:rPr>
          <w:color w:val="auto"/>
          <w:sz w:val="20"/>
          <w:szCs w:val="20"/>
        </w:rPr>
        <w:t xml:space="preserve"> as well as the current content. The purpose of these quizzes is to enhance your prediction and retrieval practice and thus, encourage long-term memory rete</w:t>
      </w:r>
      <w:r w:rsidR="0038757A">
        <w:rPr>
          <w:color w:val="auto"/>
          <w:sz w:val="20"/>
          <w:szCs w:val="20"/>
        </w:rPr>
        <w:t xml:space="preserve">ntion of the information. This doesn’t work if you look everything up in the textbook. </w:t>
      </w:r>
      <w:r w:rsidRPr="004D28AB">
        <w:rPr>
          <w:color w:val="auto"/>
          <w:sz w:val="20"/>
          <w:szCs w:val="20"/>
        </w:rPr>
        <w:t>I really want you to practice retrieving this information from your brain, not the textbook</w:t>
      </w:r>
      <w:r w:rsidR="0038757A">
        <w:rPr>
          <w:color w:val="auto"/>
          <w:sz w:val="20"/>
          <w:szCs w:val="20"/>
        </w:rPr>
        <w:t xml:space="preserve"> or your notes.</w:t>
      </w:r>
      <w:r w:rsidRPr="004D28AB">
        <w:rPr>
          <w:color w:val="auto"/>
          <w:sz w:val="20"/>
          <w:szCs w:val="20"/>
        </w:rPr>
        <w:t xml:space="preserve"> To encourage this, </w:t>
      </w:r>
      <w:r w:rsidR="00580A7A">
        <w:rPr>
          <w:color w:val="auto"/>
          <w:sz w:val="20"/>
          <w:szCs w:val="20"/>
        </w:rPr>
        <w:t>your pre-test quiz will be ungraded</w:t>
      </w:r>
      <w:r w:rsidR="0038757A">
        <w:rPr>
          <w:color w:val="auto"/>
          <w:sz w:val="20"/>
          <w:szCs w:val="20"/>
        </w:rPr>
        <w:t>,</w:t>
      </w:r>
      <w:r w:rsidR="00580A7A">
        <w:rPr>
          <w:color w:val="auto"/>
          <w:sz w:val="20"/>
          <w:szCs w:val="20"/>
        </w:rPr>
        <w:t xml:space="preserve"> and you may take the post-class quiz as many times as you like until you get 100%. </w:t>
      </w:r>
      <w:r w:rsidRPr="004D28AB">
        <w:rPr>
          <w:color w:val="auto"/>
          <w:sz w:val="20"/>
          <w:szCs w:val="20"/>
        </w:rPr>
        <w:t>This is a tool for you to learn</w:t>
      </w:r>
      <w:r w:rsidR="0038757A">
        <w:rPr>
          <w:color w:val="auto"/>
          <w:sz w:val="20"/>
          <w:szCs w:val="20"/>
        </w:rPr>
        <w:t xml:space="preserve"> the vast quantity of information it takes to do this job;</w:t>
      </w:r>
      <w:r w:rsidRPr="004D28AB">
        <w:rPr>
          <w:color w:val="auto"/>
          <w:sz w:val="20"/>
          <w:szCs w:val="20"/>
        </w:rPr>
        <w:t xml:space="preserve"> use it that way.  </w:t>
      </w:r>
    </w:p>
    <w:p w14:paraId="28A75A10" w14:textId="77777777" w:rsidR="00CD2931" w:rsidRPr="004D28AB" w:rsidRDefault="00CD2931" w:rsidP="00CD2931">
      <w:pPr>
        <w:spacing w:after="0"/>
      </w:pPr>
    </w:p>
    <w:bookmarkStart w:id="19" w:name="Textbooks"/>
    <w:p w14:paraId="1090CB5B" w14:textId="77777777" w:rsidR="00413877" w:rsidRPr="004D28AB" w:rsidRDefault="00726D0E" w:rsidP="00726D0E">
      <w:pPr>
        <w:pStyle w:val="Heading3"/>
        <w:rPr>
          <w:color w:val="auto"/>
        </w:rPr>
      </w:pPr>
      <w:r w:rsidRPr="004D28AB">
        <w:rPr>
          <w:color w:val="auto"/>
        </w:rPr>
        <w:fldChar w:fldCharType="begin"/>
      </w:r>
      <w:r w:rsidRPr="004D28AB">
        <w:rPr>
          <w:color w:val="auto"/>
        </w:rPr>
        <w:instrText xml:space="preserve"> HYPERLINK  \l "Textbooks" \o "If everything is provided/online, specify that.  Also give info on how to access materials, such as the amazon link or library link." </w:instrText>
      </w:r>
      <w:r w:rsidRPr="004D28AB">
        <w:rPr>
          <w:color w:val="auto"/>
        </w:rPr>
        <w:fldChar w:fldCharType="separate"/>
      </w:r>
      <w:r w:rsidRPr="004D28AB">
        <w:rPr>
          <w:rStyle w:val="Hyperlink"/>
          <w:color w:val="auto"/>
        </w:rPr>
        <w:t>Required Textbooks:</w:t>
      </w:r>
      <w:r w:rsidRPr="004D28AB">
        <w:rPr>
          <w:color w:val="auto"/>
        </w:rPr>
        <w:fldChar w:fldCharType="end"/>
      </w:r>
    </w:p>
    <w:bookmarkEnd w:id="19"/>
    <w:p w14:paraId="1DD61310" w14:textId="77777777" w:rsidR="007A5B39" w:rsidRPr="004D28AB" w:rsidRDefault="007A5B39" w:rsidP="007A5B39">
      <w:pPr>
        <w:ind w:left="720"/>
        <w:rPr>
          <w:sz w:val="20"/>
          <w:szCs w:val="20"/>
        </w:rPr>
      </w:pPr>
      <w:proofErr w:type="gramStart"/>
      <w:r w:rsidRPr="004D28AB">
        <w:rPr>
          <w:rFonts w:cs="Times New Roman"/>
          <w:sz w:val="20"/>
          <w:szCs w:val="20"/>
        </w:rPr>
        <w:t xml:space="preserve">Coad, J, </w:t>
      </w:r>
      <w:proofErr w:type="spellStart"/>
      <w:r w:rsidRPr="004D28AB">
        <w:rPr>
          <w:rFonts w:cs="Times New Roman"/>
          <w:sz w:val="20"/>
          <w:szCs w:val="20"/>
        </w:rPr>
        <w:t>Dunstall</w:t>
      </w:r>
      <w:proofErr w:type="spellEnd"/>
      <w:r w:rsidRPr="004D28AB">
        <w:rPr>
          <w:rFonts w:cs="Times New Roman"/>
          <w:sz w:val="20"/>
          <w:szCs w:val="20"/>
        </w:rPr>
        <w:t xml:space="preserve">, M. (2011) </w:t>
      </w:r>
      <w:r w:rsidRPr="004D28AB">
        <w:rPr>
          <w:rFonts w:cs="Times New Roman"/>
          <w:i/>
          <w:sz w:val="20"/>
          <w:szCs w:val="20"/>
        </w:rPr>
        <w:t>Anatomy and Physiology for Midwives</w:t>
      </w:r>
      <w:r w:rsidRPr="004D28AB">
        <w:rPr>
          <w:rFonts w:cs="Times New Roman"/>
          <w:sz w:val="20"/>
          <w:szCs w:val="20"/>
        </w:rPr>
        <w:t xml:space="preserve"> (3</w:t>
      </w:r>
      <w:r w:rsidRPr="004D28AB">
        <w:rPr>
          <w:rFonts w:cs="Times New Roman"/>
          <w:sz w:val="20"/>
          <w:szCs w:val="20"/>
          <w:vertAlign w:val="superscript"/>
        </w:rPr>
        <w:t>rd</w:t>
      </w:r>
      <w:r w:rsidRPr="004D28AB">
        <w:rPr>
          <w:rFonts w:cs="Times New Roman"/>
          <w:sz w:val="20"/>
          <w:szCs w:val="20"/>
        </w:rPr>
        <w:t xml:space="preserve"> Edition)</w:t>
      </w:r>
      <w:r w:rsidR="00E45FF1" w:rsidRPr="004D28AB">
        <w:rPr>
          <w:rFonts w:cs="Times New Roman"/>
          <w:sz w:val="20"/>
          <w:szCs w:val="20"/>
        </w:rPr>
        <w:t>.</w:t>
      </w:r>
      <w:proofErr w:type="gramEnd"/>
      <w:r w:rsidRPr="004D28AB">
        <w:rPr>
          <w:rFonts w:cs="Times New Roman"/>
          <w:sz w:val="20"/>
          <w:szCs w:val="20"/>
        </w:rPr>
        <w:t xml:space="preserve"> Churchill Livingstone</w:t>
      </w:r>
      <w:r w:rsidR="00E45FF1" w:rsidRPr="004D28AB">
        <w:rPr>
          <w:rFonts w:cs="Times New Roman"/>
          <w:sz w:val="20"/>
          <w:szCs w:val="20"/>
        </w:rPr>
        <w:t>: New York, NY</w:t>
      </w:r>
      <w:r w:rsidRPr="004D28AB">
        <w:rPr>
          <w:rFonts w:cs="Times New Roman"/>
          <w:sz w:val="20"/>
          <w:szCs w:val="20"/>
        </w:rPr>
        <w:t xml:space="preserve">. </w:t>
      </w:r>
    </w:p>
    <w:p w14:paraId="6B435895" w14:textId="77777777" w:rsidR="00D95AC7" w:rsidRDefault="00D95AC7" w:rsidP="00D95AC7">
      <w:pPr>
        <w:ind w:left="720"/>
        <w:rPr>
          <w:rFonts w:cs="Times New Roman"/>
          <w:color w:val="000000"/>
          <w:sz w:val="20"/>
          <w:szCs w:val="20"/>
        </w:rPr>
      </w:pPr>
      <w:proofErr w:type="gramStart"/>
      <w:r w:rsidRPr="00591964">
        <w:rPr>
          <w:rFonts w:cs="Times New Roman"/>
          <w:color w:val="000000"/>
          <w:sz w:val="20"/>
          <w:szCs w:val="20"/>
        </w:rPr>
        <w:t>King, T. et al. (2015).</w:t>
      </w:r>
      <w:proofErr w:type="gramEnd"/>
      <w:r w:rsidRPr="00591964">
        <w:rPr>
          <w:rFonts w:cs="Times New Roman"/>
          <w:color w:val="000000"/>
          <w:sz w:val="20"/>
          <w:szCs w:val="20"/>
        </w:rPr>
        <w:t xml:space="preserve"> </w:t>
      </w:r>
      <w:proofErr w:type="gramStart"/>
      <w:r w:rsidRPr="00591964">
        <w:rPr>
          <w:rFonts w:cs="Times New Roman"/>
          <w:i/>
          <w:color w:val="000000"/>
          <w:sz w:val="20"/>
          <w:szCs w:val="20"/>
        </w:rPr>
        <w:t>Varney’s Midwifery</w:t>
      </w:r>
      <w:r w:rsidRPr="00591964">
        <w:rPr>
          <w:rFonts w:cs="Times New Roman"/>
          <w:color w:val="000000"/>
          <w:sz w:val="20"/>
          <w:szCs w:val="20"/>
        </w:rPr>
        <w:t xml:space="preserve"> (</w:t>
      </w:r>
      <w:r w:rsidR="00E45FF1" w:rsidRPr="00591964">
        <w:rPr>
          <w:rFonts w:cs="Times New Roman"/>
          <w:color w:val="000000"/>
          <w:sz w:val="20"/>
          <w:szCs w:val="20"/>
        </w:rPr>
        <w:t>6</w:t>
      </w:r>
      <w:r w:rsidRPr="00591964">
        <w:rPr>
          <w:rFonts w:cs="Times New Roman"/>
          <w:color w:val="000000"/>
          <w:sz w:val="20"/>
          <w:szCs w:val="20"/>
          <w:vertAlign w:val="superscript"/>
        </w:rPr>
        <w:t>th</w:t>
      </w:r>
      <w:r w:rsidR="00E45FF1" w:rsidRPr="00591964">
        <w:rPr>
          <w:rFonts w:cs="Times New Roman"/>
          <w:color w:val="000000"/>
          <w:sz w:val="20"/>
          <w:szCs w:val="20"/>
        </w:rPr>
        <w:t xml:space="preserve"> Edition).</w:t>
      </w:r>
      <w:proofErr w:type="gramEnd"/>
      <w:r w:rsidR="00E45FF1" w:rsidRPr="00591964">
        <w:rPr>
          <w:rFonts w:cs="Times New Roman"/>
          <w:color w:val="000000"/>
          <w:sz w:val="20"/>
          <w:szCs w:val="20"/>
        </w:rPr>
        <w:t xml:space="preserve"> Jones and Bartlett: Sudbury, MA</w:t>
      </w:r>
      <w:r w:rsidRPr="00591964">
        <w:rPr>
          <w:rFonts w:cs="Times New Roman"/>
          <w:color w:val="000000"/>
          <w:sz w:val="20"/>
          <w:szCs w:val="20"/>
        </w:rPr>
        <w:t>.</w:t>
      </w:r>
    </w:p>
    <w:p w14:paraId="55C28358" w14:textId="7D6A0240" w:rsidR="0040776A" w:rsidRPr="0040776A" w:rsidRDefault="0040776A" w:rsidP="0040776A">
      <w:pPr>
        <w:ind w:left="720"/>
        <w:rPr>
          <w:rFonts w:cs="Times New Roman"/>
          <w:color w:val="000000"/>
          <w:sz w:val="20"/>
          <w:szCs w:val="20"/>
        </w:rPr>
      </w:pPr>
      <w:r w:rsidRPr="00591964">
        <w:rPr>
          <w:rFonts w:cs="Times New Roman"/>
          <w:color w:val="000000"/>
          <w:sz w:val="20"/>
          <w:szCs w:val="20"/>
        </w:rPr>
        <w:lastRenderedPageBreak/>
        <w:t>Newborn Text: TBA. I am considering a change in this text. I will keep you posted. The NB material will be in the 2</w:t>
      </w:r>
      <w:r w:rsidRPr="00591964">
        <w:rPr>
          <w:rFonts w:cs="Times New Roman"/>
          <w:color w:val="000000"/>
          <w:sz w:val="20"/>
          <w:szCs w:val="20"/>
          <w:vertAlign w:val="superscript"/>
        </w:rPr>
        <w:t>nd</w:t>
      </w:r>
      <w:r w:rsidRPr="00591964">
        <w:rPr>
          <w:rFonts w:cs="Times New Roman"/>
          <w:color w:val="000000"/>
          <w:sz w:val="20"/>
          <w:szCs w:val="20"/>
        </w:rPr>
        <w:t xml:space="preserve"> half of the semester, so you will have plenty of time to order this text prior to the NB material.</w:t>
      </w:r>
    </w:p>
    <w:p w14:paraId="7B4C1FE4" w14:textId="66E53C05" w:rsidR="0040776A" w:rsidRPr="0040776A" w:rsidRDefault="00D6144A" w:rsidP="0040776A">
      <w:pPr>
        <w:pStyle w:val="Heading3"/>
      </w:pPr>
      <w:r w:rsidRPr="00D6144A">
        <w:t xml:space="preserve">Optional </w:t>
      </w:r>
      <w:r w:rsidR="00D95AC7">
        <w:t>Texts:</w:t>
      </w:r>
    </w:p>
    <w:p w14:paraId="403BC4F9" w14:textId="3AAF89F4" w:rsidR="0040776A" w:rsidRDefault="0040776A" w:rsidP="0040776A">
      <w:pPr>
        <w:ind w:left="720"/>
        <w:rPr>
          <w:rFonts w:cs="Times New Roman"/>
          <w:color w:val="000000"/>
          <w:sz w:val="20"/>
          <w:szCs w:val="20"/>
        </w:rPr>
      </w:pPr>
      <w:proofErr w:type="spellStart"/>
      <w:proofErr w:type="gramStart"/>
      <w:r w:rsidRPr="00591964">
        <w:rPr>
          <w:rFonts w:cs="Times New Roman"/>
          <w:color w:val="000000"/>
          <w:sz w:val="20"/>
          <w:szCs w:val="20"/>
        </w:rPr>
        <w:t>Gabbe</w:t>
      </w:r>
      <w:proofErr w:type="spellEnd"/>
      <w:r w:rsidRPr="00591964">
        <w:rPr>
          <w:rFonts w:cs="Times New Roman"/>
          <w:color w:val="000000"/>
          <w:sz w:val="20"/>
          <w:szCs w:val="20"/>
        </w:rPr>
        <w:t>, S. et al. (2016).</w:t>
      </w:r>
      <w:proofErr w:type="gramEnd"/>
      <w:r w:rsidRPr="00591964">
        <w:rPr>
          <w:rFonts w:cs="Times New Roman"/>
          <w:color w:val="000000"/>
          <w:sz w:val="20"/>
          <w:szCs w:val="20"/>
        </w:rPr>
        <w:t xml:space="preserve"> </w:t>
      </w:r>
      <w:proofErr w:type="gramStart"/>
      <w:r w:rsidRPr="00591964">
        <w:rPr>
          <w:rFonts w:cs="Times New Roman"/>
          <w:i/>
          <w:color w:val="000000"/>
          <w:sz w:val="20"/>
          <w:szCs w:val="20"/>
        </w:rPr>
        <w:t>Obstetrics – Normal &amp; Problem Pregnancies</w:t>
      </w:r>
      <w:r w:rsidRPr="00591964">
        <w:rPr>
          <w:rFonts w:cs="Times New Roman"/>
          <w:color w:val="000000"/>
          <w:sz w:val="20"/>
          <w:szCs w:val="20"/>
        </w:rPr>
        <w:t xml:space="preserve"> (7</w:t>
      </w:r>
      <w:r w:rsidRPr="00591964">
        <w:rPr>
          <w:rFonts w:cs="Times New Roman"/>
          <w:color w:val="000000"/>
          <w:sz w:val="20"/>
          <w:szCs w:val="20"/>
          <w:vertAlign w:val="superscript"/>
        </w:rPr>
        <w:t>th</w:t>
      </w:r>
      <w:r w:rsidRPr="00591964">
        <w:rPr>
          <w:rFonts w:cs="Times New Roman"/>
          <w:color w:val="000000"/>
          <w:sz w:val="20"/>
          <w:szCs w:val="20"/>
        </w:rPr>
        <w:t xml:space="preserve"> Edition).</w:t>
      </w:r>
      <w:proofErr w:type="gramEnd"/>
      <w:r w:rsidRPr="00591964">
        <w:rPr>
          <w:rFonts w:cs="Times New Roman"/>
          <w:color w:val="000000"/>
          <w:sz w:val="20"/>
          <w:szCs w:val="20"/>
        </w:rPr>
        <w:t xml:space="preserve"> Saunders: Philadelphia, PA. </w:t>
      </w:r>
    </w:p>
    <w:p w14:paraId="5E884FFD" w14:textId="679AF140" w:rsidR="00A41F66" w:rsidRPr="00591964" w:rsidRDefault="00E45FF1" w:rsidP="00416E61">
      <w:pPr>
        <w:ind w:left="720"/>
        <w:rPr>
          <w:rFonts w:eastAsia="Times New Roman"/>
          <w:sz w:val="20"/>
          <w:szCs w:val="20"/>
        </w:rPr>
      </w:pPr>
      <w:r w:rsidRPr="00591964">
        <w:rPr>
          <w:rFonts w:cs="Times New Roman"/>
          <w:color w:val="000000"/>
          <w:sz w:val="20"/>
          <w:szCs w:val="20"/>
        </w:rPr>
        <w:t xml:space="preserve">Walker, M. (2016). </w:t>
      </w:r>
      <w:r w:rsidRPr="00591964">
        <w:rPr>
          <w:rFonts w:cs="Times New Roman"/>
          <w:i/>
          <w:color w:val="000000"/>
          <w:sz w:val="20"/>
          <w:szCs w:val="20"/>
        </w:rPr>
        <w:t>Breastfeeding Management for the Clinician: Using the Evidence</w:t>
      </w:r>
      <w:r w:rsidRPr="00591964">
        <w:rPr>
          <w:rFonts w:cs="Times New Roman"/>
          <w:color w:val="000000"/>
          <w:sz w:val="20"/>
          <w:szCs w:val="20"/>
        </w:rPr>
        <w:t xml:space="preserve">. (4th Edition) Jones and Bartlett: Burlington. ISBN </w:t>
      </w:r>
      <w:r w:rsidRPr="00591964">
        <w:rPr>
          <w:rFonts w:eastAsia="Times New Roman"/>
          <w:sz w:val="20"/>
          <w:szCs w:val="20"/>
        </w:rPr>
        <w:t>978-1284091045</w:t>
      </w:r>
    </w:p>
    <w:bookmarkStart w:id="20" w:name="CoursePolicies"/>
    <w:p w14:paraId="5CFBB359" w14:textId="77777777" w:rsidR="0040776A" w:rsidRPr="00153B3E" w:rsidRDefault="0040776A" w:rsidP="0040776A">
      <w:pPr>
        <w:pStyle w:val="Heading2"/>
        <w:rPr>
          <w:color w:val="414042"/>
        </w:rPr>
      </w:pPr>
      <w:r w:rsidRPr="00153B3E">
        <w:rPr>
          <w:color w:val="414042"/>
        </w:rPr>
        <w:fldChar w:fldCharType="begin"/>
      </w:r>
      <w:r>
        <w:rPr>
          <w:color w:val="414042"/>
        </w:rPr>
        <w:instrText>HYPERLINK  \l "CoursePolicies" \o "The policies outlined below may not be altered.  If you have additional policies, please add them to one of the sections above."</w:instrText>
      </w:r>
      <w:r w:rsidRPr="00153B3E">
        <w:rPr>
          <w:color w:val="414042"/>
        </w:rPr>
      </w:r>
      <w:r w:rsidRPr="00153B3E">
        <w:rPr>
          <w:color w:val="414042"/>
        </w:rPr>
        <w:fldChar w:fldCharType="separate"/>
      </w:r>
      <w:r w:rsidRPr="00153B3E">
        <w:rPr>
          <w:rStyle w:val="Hyperlink"/>
        </w:rPr>
        <w:t>Course Policies:</w:t>
      </w:r>
      <w:r w:rsidRPr="00153B3E">
        <w:rPr>
          <w:color w:val="414042"/>
        </w:rPr>
        <w:fldChar w:fldCharType="end"/>
      </w:r>
    </w:p>
    <w:bookmarkEnd w:id="20"/>
    <w:p w14:paraId="3F1C54C5" w14:textId="77777777" w:rsidR="0040776A" w:rsidRDefault="0040776A" w:rsidP="0040776A">
      <w:pPr>
        <w:pStyle w:val="Heading3"/>
        <w:rPr>
          <w:rFonts w:eastAsiaTheme="minorHAnsi" w:cstheme="minorBidi"/>
          <w:b w:val="0"/>
          <w:bCs w:val="0"/>
          <w:color w:val="auto"/>
          <w:sz w:val="22"/>
        </w:rPr>
      </w:pPr>
    </w:p>
    <w:p w14:paraId="2EA1AEE4" w14:textId="77777777" w:rsidR="0040776A" w:rsidRPr="00153B3E" w:rsidRDefault="0040776A" w:rsidP="0040776A">
      <w:pPr>
        <w:pStyle w:val="Heading3"/>
      </w:pPr>
      <w:r w:rsidRPr="00935695">
        <w:t>Late Policy:</w:t>
      </w:r>
    </w:p>
    <w:p w14:paraId="505C67D1" w14:textId="64B094C8" w:rsidR="0040776A" w:rsidRPr="00153B3E" w:rsidRDefault="0040776A" w:rsidP="0040776A">
      <w:pPr>
        <w:rPr>
          <w:rFonts w:ascii="Century Gothic" w:hAnsi="Century Gothic"/>
          <w:color w:val="414042"/>
        </w:rPr>
      </w:pPr>
      <w:r w:rsidRPr="00153B3E">
        <w:rPr>
          <w:rFonts w:ascii="Century Gothic" w:hAnsi="Century Gothic"/>
          <w:color w:val="414042"/>
        </w:rPr>
        <w:t>No late work will be accepted. It is the student’s responsibility to ensure that all work is submitted SUCCESSFULLY in the correct format by the identified due date and time. The student is responsible for contacting faculty prior to an extenuating circumstance or situation and it is the faculty’s discretion to decide if make-up work will be given.</w:t>
      </w:r>
    </w:p>
    <w:p w14:paraId="04079472" w14:textId="77777777" w:rsidR="0040776A" w:rsidRPr="00153B3E" w:rsidRDefault="0040776A" w:rsidP="0040776A">
      <w:pPr>
        <w:pStyle w:val="Heading3"/>
      </w:pPr>
      <w:r w:rsidRPr="00153B3E">
        <w:t>University of Utah Student Code:</w:t>
      </w:r>
    </w:p>
    <w:p w14:paraId="0FCDCE28" w14:textId="77777777" w:rsidR="0040776A" w:rsidRPr="00153B3E" w:rsidRDefault="0040776A" w:rsidP="0040776A">
      <w:pPr>
        <w:spacing w:after="0" w:line="240" w:lineRule="auto"/>
        <w:rPr>
          <w:color w:val="414042"/>
        </w:rPr>
      </w:pPr>
      <w:r w:rsidRPr="00153B3E">
        <w:rPr>
          <w:color w:val="414042"/>
        </w:rPr>
        <w:t xml:space="preserve">The </w:t>
      </w:r>
      <w:hyperlink r:id="rId10" w:history="1">
        <w:r w:rsidRPr="00153B3E">
          <w:rPr>
            <w:rStyle w:val="Hyperlink"/>
            <w:u w:val="single"/>
          </w:rPr>
          <w:t>Student Code</w:t>
        </w:r>
      </w:hyperlink>
      <w:r w:rsidRPr="00153B3E">
        <w:rPr>
          <w:color w:val="414042"/>
        </w:rPr>
        <w:t xml:space="preserve"> is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to become aware of these issues, as students are responsible to know and understand the Code’s content. Students will receive sanctions for violating one or more of the proscriptions. The faculty will enforce the Code. Students have the right to appeal such action to the Student Behavior Committee.</w:t>
      </w:r>
    </w:p>
    <w:p w14:paraId="656A9724" w14:textId="77777777" w:rsidR="0040776A" w:rsidRPr="00153B3E" w:rsidRDefault="0040776A" w:rsidP="0040776A">
      <w:pPr>
        <w:rPr>
          <w:color w:val="414042"/>
        </w:rPr>
      </w:pPr>
    </w:p>
    <w:p w14:paraId="45352C46" w14:textId="77777777" w:rsidR="0040776A" w:rsidRPr="00153B3E" w:rsidRDefault="0040776A" w:rsidP="0040776A">
      <w:pPr>
        <w:rPr>
          <w:color w:val="414042"/>
        </w:rPr>
      </w:pPr>
      <w:r w:rsidRPr="00153B3E">
        <w:rPr>
          <w:color w:val="414042"/>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failing grade.  Students have the right to appeal such action to the Student Behavior Committee.”</w:t>
      </w:r>
    </w:p>
    <w:p w14:paraId="23F05E5C" w14:textId="77777777" w:rsidR="0040776A" w:rsidRPr="00153B3E" w:rsidRDefault="0040776A" w:rsidP="0040776A">
      <w:pPr>
        <w:rPr>
          <w:color w:val="414042"/>
        </w:rPr>
      </w:pPr>
      <w:r w:rsidRPr="00153B3E">
        <w:rPr>
          <w:color w:val="414042"/>
        </w:rPr>
        <w:t xml:space="preserve">“Faculty…must strive in the classroom to maintain a climate conducive to thinking and learning.” </w:t>
      </w:r>
      <w:proofErr w:type="gramStart"/>
      <w:r w:rsidRPr="00153B3E">
        <w:rPr>
          <w:color w:val="414042"/>
        </w:rPr>
        <w:t>PPM 8-12.3, B.</w:t>
      </w:r>
      <w:proofErr w:type="gramEnd"/>
    </w:p>
    <w:p w14:paraId="5760BC99" w14:textId="77777777" w:rsidR="0040776A" w:rsidRPr="00153B3E" w:rsidRDefault="0040776A" w:rsidP="0040776A">
      <w:pPr>
        <w:rPr>
          <w:rFonts w:ascii="Century Gothic" w:hAnsi="Century Gothic"/>
          <w:color w:val="414042"/>
        </w:rPr>
      </w:pPr>
      <w:r w:rsidRPr="00153B3E">
        <w:rPr>
          <w:color w:val="414042"/>
        </w:rPr>
        <w:t xml:space="preserve">“Students have a right to support and assistance from the University in maintaining a climate conducive to thinking and learning.” </w:t>
      </w:r>
      <w:proofErr w:type="gramStart"/>
      <w:r w:rsidRPr="00153B3E">
        <w:rPr>
          <w:color w:val="414042"/>
        </w:rPr>
        <w:t>PPM 8-10, II.</w:t>
      </w:r>
      <w:proofErr w:type="gramEnd"/>
      <w:r w:rsidRPr="00153B3E">
        <w:rPr>
          <w:color w:val="414042"/>
        </w:rPr>
        <w:t xml:space="preserve"> A.</w:t>
      </w:r>
    </w:p>
    <w:p w14:paraId="353016DE" w14:textId="77777777" w:rsidR="0040776A" w:rsidRPr="00153B3E" w:rsidRDefault="0040776A" w:rsidP="0040776A">
      <w:pPr>
        <w:pStyle w:val="Heading3"/>
        <w:rPr>
          <w:rFonts w:ascii="MS Gothic" w:eastAsia="MS Gothic" w:hAnsi="MS Gothic" w:cs="MS Gothic"/>
        </w:rPr>
      </w:pPr>
      <w:r w:rsidRPr="00153B3E">
        <w:lastRenderedPageBreak/>
        <w:t>Academic Dishonesty</w:t>
      </w:r>
      <w:proofErr w:type="gramStart"/>
      <w:r w:rsidRPr="00153B3E">
        <w:t>:</w:t>
      </w:r>
      <w:r w:rsidRPr="00153B3E">
        <w:rPr>
          <w:rFonts w:ascii="MS Gothic" w:eastAsia="MS Gothic" w:hAnsi="MS Gothic" w:cs="MS Gothic" w:hint="eastAsia"/>
        </w:rPr>
        <w:t> </w:t>
      </w:r>
      <w:proofErr w:type="gramEnd"/>
    </w:p>
    <w:p w14:paraId="01258FA5" w14:textId="77777777" w:rsidR="0040776A" w:rsidRPr="00153B3E" w:rsidRDefault="0040776A" w:rsidP="0040776A">
      <w:pPr>
        <w:rPr>
          <w:color w:val="414042"/>
        </w:rPr>
      </w:pPr>
      <w:r w:rsidRPr="00153B3E">
        <w:rPr>
          <w:color w:val="414042"/>
        </w:rPr>
        <w:t>The instructor(s) of this course will take appropriate actions in response to Academic Dishonesty, as defined the University’s Student Code.  Acts of academic dishonesty include but are not limited to:</w:t>
      </w:r>
    </w:p>
    <w:p w14:paraId="1904660A" w14:textId="77777777" w:rsidR="0040776A" w:rsidRPr="00153B3E" w:rsidRDefault="0040776A" w:rsidP="0040776A">
      <w:pPr>
        <w:rPr>
          <w:color w:val="414042"/>
        </w:rPr>
      </w:pPr>
      <w:r w:rsidRPr="00153B3E">
        <w:rPr>
          <w:color w:val="414042"/>
        </w:rPr>
        <w:t xml:space="preserve">    </w:t>
      </w:r>
      <w:r w:rsidRPr="00153B3E">
        <w:rPr>
          <w:b/>
          <w:color w:val="414042"/>
        </w:rPr>
        <w:t>Cheating</w:t>
      </w:r>
      <w:r w:rsidRPr="00153B3E">
        <w:rPr>
          <w:color w:val="414042"/>
        </w:rPr>
        <w:t>: using, attempting to use, or providing others with any unauthorized assistance in taking quizzes, tests, examinations, or in any other academic exercise or activity.  Unauthorized assistance includes:</w:t>
      </w:r>
    </w:p>
    <w:p w14:paraId="58CB50D8" w14:textId="77777777" w:rsidR="0040776A" w:rsidRPr="00153B3E" w:rsidRDefault="0040776A" w:rsidP="0040776A">
      <w:pPr>
        <w:pStyle w:val="ListParagraph"/>
        <w:numPr>
          <w:ilvl w:val="0"/>
          <w:numId w:val="27"/>
        </w:numPr>
        <w:rPr>
          <w:color w:val="414042"/>
        </w:rPr>
      </w:pPr>
      <w:r w:rsidRPr="00153B3E">
        <w:rPr>
          <w:color w:val="414042"/>
        </w:rPr>
        <w:t>Working in a group when the instructor has designated that the quiz, test, examination, or any other academic exercise or activity be done “individually;”</w:t>
      </w:r>
    </w:p>
    <w:p w14:paraId="0AE95131" w14:textId="77777777" w:rsidR="0040776A" w:rsidRPr="00153B3E" w:rsidRDefault="0040776A" w:rsidP="0040776A">
      <w:pPr>
        <w:pStyle w:val="ListParagraph"/>
        <w:numPr>
          <w:ilvl w:val="0"/>
          <w:numId w:val="27"/>
        </w:numPr>
        <w:rPr>
          <w:color w:val="414042"/>
        </w:rPr>
      </w:pPr>
      <w:r w:rsidRPr="00153B3E">
        <w:rPr>
          <w:color w:val="414042"/>
        </w:rPr>
        <w:t>Depending on the aid of sources beyond those authorized by the instructor in writing papers, preparing reports, solving problems, or carrying out other assignments;</w:t>
      </w:r>
    </w:p>
    <w:p w14:paraId="33DC7102" w14:textId="77777777" w:rsidR="0040776A" w:rsidRPr="00153B3E" w:rsidRDefault="0040776A" w:rsidP="0040776A">
      <w:pPr>
        <w:pStyle w:val="ListParagraph"/>
        <w:numPr>
          <w:ilvl w:val="0"/>
          <w:numId w:val="27"/>
        </w:numPr>
        <w:rPr>
          <w:color w:val="414042"/>
        </w:rPr>
      </w:pPr>
      <w:r w:rsidRPr="00153B3E">
        <w:rPr>
          <w:color w:val="414042"/>
        </w:rPr>
        <w:t>Substituting for another student, or permitting another student to substitute for oneself, in taking an examination or preparing academic work;</w:t>
      </w:r>
    </w:p>
    <w:p w14:paraId="2AE83A03" w14:textId="77777777" w:rsidR="0040776A" w:rsidRPr="00153B3E" w:rsidRDefault="0040776A" w:rsidP="0040776A">
      <w:pPr>
        <w:pStyle w:val="ListParagraph"/>
        <w:numPr>
          <w:ilvl w:val="0"/>
          <w:numId w:val="27"/>
        </w:numPr>
        <w:rPr>
          <w:color w:val="414042"/>
        </w:rPr>
      </w:pPr>
      <w:r w:rsidRPr="00153B3E">
        <w:rPr>
          <w:color w:val="414042"/>
        </w:rPr>
        <w:t>Acquiring tests or other academic material belonging to a faculty member, staff member, or another student without express permission;</w:t>
      </w:r>
    </w:p>
    <w:p w14:paraId="2A06483A" w14:textId="77777777" w:rsidR="0040776A" w:rsidRPr="00153B3E" w:rsidRDefault="0040776A" w:rsidP="0040776A">
      <w:pPr>
        <w:pStyle w:val="ListParagraph"/>
        <w:numPr>
          <w:ilvl w:val="0"/>
          <w:numId w:val="27"/>
        </w:numPr>
        <w:rPr>
          <w:color w:val="414042"/>
        </w:rPr>
      </w:pPr>
      <w:r w:rsidRPr="00153B3E">
        <w:rPr>
          <w:color w:val="414042"/>
        </w:rPr>
        <w:t>Continuing to write after time has been called on a quiz, test, examination, or any other academic exercise or activity;</w:t>
      </w:r>
    </w:p>
    <w:p w14:paraId="4E0DA951" w14:textId="77777777" w:rsidR="0040776A" w:rsidRPr="00153B3E" w:rsidRDefault="0040776A" w:rsidP="0040776A">
      <w:pPr>
        <w:pStyle w:val="ListParagraph"/>
        <w:numPr>
          <w:ilvl w:val="0"/>
          <w:numId w:val="27"/>
        </w:numPr>
        <w:rPr>
          <w:color w:val="414042"/>
        </w:rPr>
      </w:pPr>
      <w:r w:rsidRPr="00153B3E">
        <w:rPr>
          <w:color w:val="414042"/>
        </w:rPr>
        <w:t>Submitting substantially the same work for credit in more than one class, except with prior approval of the instructor; or engaging in any form of research fraud.</w:t>
      </w:r>
    </w:p>
    <w:p w14:paraId="7D2576DE" w14:textId="77777777" w:rsidR="0040776A" w:rsidRPr="00153B3E" w:rsidRDefault="0040776A" w:rsidP="0040776A">
      <w:pPr>
        <w:rPr>
          <w:color w:val="414042"/>
        </w:rPr>
      </w:pPr>
      <w:r w:rsidRPr="00153B3E">
        <w:rPr>
          <w:color w:val="414042"/>
        </w:rPr>
        <w:t xml:space="preserve">    </w:t>
      </w:r>
      <w:r w:rsidRPr="00153B3E">
        <w:rPr>
          <w:b/>
          <w:color w:val="414042"/>
        </w:rPr>
        <w:t>Falsification</w:t>
      </w:r>
      <w:r w:rsidRPr="00153B3E">
        <w:rPr>
          <w:color w:val="414042"/>
        </w:rPr>
        <w:t>: altering or fabricating any information or citation in an academic exercise or activity.</w:t>
      </w:r>
    </w:p>
    <w:p w14:paraId="214E18D0" w14:textId="77777777" w:rsidR="0040776A" w:rsidRPr="00153B3E" w:rsidRDefault="0040776A" w:rsidP="0040776A">
      <w:pPr>
        <w:rPr>
          <w:color w:val="414042"/>
        </w:rPr>
      </w:pPr>
      <w:r w:rsidRPr="00153B3E">
        <w:rPr>
          <w:color w:val="414042"/>
        </w:rPr>
        <w:t xml:space="preserve">    </w:t>
      </w:r>
      <w:r w:rsidRPr="00153B3E">
        <w:rPr>
          <w:b/>
          <w:color w:val="414042"/>
        </w:rPr>
        <w:t>Plagiarism</w:t>
      </w:r>
      <w:r w:rsidRPr="00153B3E">
        <w:rPr>
          <w:color w:val="414042"/>
        </w:rPr>
        <w:t>: representing, by paraphrase or direct quotation, the published or unpublished work of another person as one‘s own in any academic exercise or activity without full and clear acknowledgment. It also includes using materials prepared by another person or by an agency engaged in the sale of term papers or other academic materials.</w:t>
      </w:r>
    </w:p>
    <w:p w14:paraId="4C1AA845" w14:textId="77777777" w:rsidR="0040776A" w:rsidRPr="00153B3E" w:rsidRDefault="0040776A" w:rsidP="0040776A">
      <w:pPr>
        <w:pStyle w:val="Heading3"/>
      </w:pPr>
      <w:r w:rsidRPr="00153B3E">
        <w:t>Interactive Video Conferencing:</w:t>
      </w:r>
    </w:p>
    <w:p w14:paraId="2DF0A894" w14:textId="77777777" w:rsidR="0040776A" w:rsidRPr="00153B3E" w:rsidRDefault="0040776A" w:rsidP="0040776A">
      <w:pPr>
        <w:rPr>
          <w:rFonts w:ascii="Century Gothic" w:hAnsi="Century Gothic"/>
          <w:color w:val="414042"/>
        </w:rPr>
      </w:pPr>
      <w:r w:rsidRPr="00153B3E">
        <w:rPr>
          <w:rFonts w:ascii="Century Gothic" w:hAnsi="Century Gothic"/>
          <w:color w:val="414042"/>
        </w:rPr>
        <w:t>Any dialogue you engage in on interactive video conferencing sites that the University of Utah supports, such as ACANO, is publicly available.  This is true even in “private” chat rooms or while “instant messaging.”  Professional dialogue and behavior is expected at all times.</w:t>
      </w:r>
    </w:p>
    <w:p w14:paraId="04800D70" w14:textId="77777777" w:rsidR="0040776A" w:rsidRPr="00153B3E" w:rsidRDefault="0040776A" w:rsidP="0040776A">
      <w:pPr>
        <w:pStyle w:val="Heading3"/>
      </w:pPr>
      <w:r w:rsidRPr="00153B3E">
        <w:t>Students with Disabilities:</w:t>
      </w:r>
    </w:p>
    <w:p w14:paraId="17913DBF" w14:textId="77777777" w:rsidR="0040776A" w:rsidRDefault="0040776A" w:rsidP="0040776A">
      <w:pPr>
        <w:rPr>
          <w:rFonts w:ascii="Century Gothic" w:hAnsi="Century Gothic"/>
          <w:color w:val="414042"/>
        </w:rPr>
      </w:pPr>
      <w:r w:rsidRPr="00153B3E">
        <w:rPr>
          <w:rFonts w:ascii="Century Gothic" w:hAnsi="Century Gothic"/>
          <w:color w:val="414042"/>
        </w:rPr>
        <w:t xml:space="preserve">The University of Utah seeks to provide equal access to its programs, services and activities for people with disabilities. If you have physical or mental health disabilities that may compromise your success with program progression and will need accommodations in the class, reasonable prior notice needs to be given to the Center for Disability Services, 162 </w:t>
      </w:r>
      <w:proofErr w:type="spellStart"/>
      <w:r w:rsidRPr="00153B3E">
        <w:rPr>
          <w:rFonts w:ascii="Century Gothic" w:hAnsi="Century Gothic"/>
          <w:color w:val="414042"/>
        </w:rPr>
        <w:t>Olpin</w:t>
      </w:r>
      <w:proofErr w:type="spellEnd"/>
      <w:r w:rsidRPr="00153B3E">
        <w:rPr>
          <w:rFonts w:ascii="Century Gothic" w:hAnsi="Century Gothic"/>
          <w:color w:val="414042"/>
        </w:rPr>
        <w:t xml:space="preserve"> Union Building, 581-5020 (V/TDD). CDS will work with you and the instructor to make arrangements for accommodations. All written information </w:t>
      </w:r>
      <w:r w:rsidRPr="00153B3E">
        <w:rPr>
          <w:rFonts w:ascii="Century Gothic" w:hAnsi="Century Gothic"/>
          <w:color w:val="414042"/>
        </w:rPr>
        <w:lastRenderedPageBreak/>
        <w:t xml:space="preserve">in this course can be made available in alternative format with prior notification to the Center for Disability Services. </w:t>
      </w:r>
    </w:p>
    <w:p w14:paraId="39FA8BBF" w14:textId="77777777" w:rsidR="0040776A" w:rsidRDefault="0040776A" w:rsidP="0040776A">
      <w:pPr>
        <w:pStyle w:val="Heading3"/>
      </w:pPr>
      <w:r>
        <w:t>University Safety Statement</w:t>
      </w:r>
    </w:p>
    <w:p w14:paraId="5624A737" w14:textId="77777777" w:rsidR="0040776A" w:rsidRPr="003831F6" w:rsidRDefault="0040776A" w:rsidP="0040776A">
      <w:r w:rsidRPr="00861078">
        <w:rPr>
          <w:color w:val="414042"/>
        </w:rPr>
        <w:t xml:space="preserve">The University of Utah values the safety of all campus community members. </w:t>
      </w:r>
      <w:proofErr w:type="gramStart"/>
      <w:r w:rsidRPr="00861078">
        <w:rPr>
          <w:color w:val="414042"/>
        </w:rPr>
        <w:t>To report suspicious activity or to request a courtesy escort, call campus police at 801-585-COPS (801-585-2677).</w:t>
      </w:r>
      <w:proofErr w:type="gramEnd"/>
      <w:r w:rsidRPr="00861078">
        <w:rPr>
          <w:color w:val="414042"/>
        </w:rPr>
        <w:t xml:space="preserve"> You will receive important emergency alerts and safety messages regarding campus safety via text message. For more information regarding safety and to view available training resources, including helpful videos, visit</w:t>
      </w:r>
      <w:r w:rsidRPr="003831F6">
        <w:t xml:space="preserve"> </w:t>
      </w:r>
      <w:hyperlink r:id="rId11" w:history="1">
        <w:r w:rsidRPr="003831F6">
          <w:rPr>
            <w:rStyle w:val="Hyperlink"/>
          </w:rPr>
          <w:t>safeu.utah.edu</w:t>
        </w:r>
      </w:hyperlink>
      <w:r w:rsidRPr="003831F6">
        <w:t>.</w:t>
      </w:r>
    </w:p>
    <w:p w14:paraId="65D71496" w14:textId="77777777" w:rsidR="00D7563B" w:rsidRPr="00153B3E" w:rsidRDefault="00D7563B" w:rsidP="00D7563B">
      <w:pPr>
        <w:pStyle w:val="Heading3"/>
      </w:pPr>
      <w:r w:rsidRPr="00153B3E">
        <w:t>Addressing Sexual Misconduct</w:t>
      </w:r>
    </w:p>
    <w:p w14:paraId="65C9AFD8" w14:textId="77777777" w:rsidR="00D7563B" w:rsidRPr="00153B3E" w:rsidRDefault="00D7563B" w:rsidP="00D7563B">
      <w:pPr>
        <w:pStyle w:val="Heading3"/>
        <w:rPr>
          <w:rFonts w:eastAsiaTheme="minorHAnsi" w:cstheme="minorBidi"/>
          <w:b w:val="0"/>
          <w:bCs w:val="0"/>
          <w:sz w:val="22"/>
        </w:rPr>
      </w:pPr>
      <w:r w:rsidRPr="00153B3E">
        <w:rPr>
          <w:rFonts w:eastAsiaTheme="minorHAnsi" w:cstheme="minorBidi"/>
          <w:b w:val="0"/>
          <w:bCs w:val="0"/>
          <w:sz w:val="22"/>
        </w:rPr>
        <w:t xml:space="preserve">Title IX of the Education Amendments of 1972 prohibits sex discrimination against any participant in an educational program or activity that receives federal funds. The act is intended to eliminate sex discrimination in education. Title IX covers discrimination in programs, admissions, activities, and student-to-student sexual harassment. It is the policy of the University of Utah to maintain an academic and work environment free of sexual harassment for students, faculty, staff and participants. A claim under this policy may be brought by any faculty, staff member, student or participant based on the conduct of any University employee or student that is related to or in the course of University business. </w:t>
      </w:r>
      <w:proofErr w:type="gramStart"/>
      <w:r w:rsidRPr="00153B3E">
        <w:rPr>
          <w:rFonts w:eastAsiaTheme="minorHAnsi" w:cstheme="minorBidi"/>
          <w:b w:val="0"/>
          <w:bCs w:val="0"/>
          <w:sz w:val="22"/>
        </w:rPr>
        <w:t>A claim may also be brought by an administrator acting on behalf of the University</w:t>
      </w:r>
      <w:proofErr w:type="gramEnd"/>
      <w:r w:rsidRPr="00153B3E">
        <w:rPr>
          <w:rFonts w:eastAsiaTheme="minorHAnsi" w:cstheme="minorBidi"/>
          <w:b w:val="0"/>
          <w:bCs w:val="0"/>
          <w:sz w:val="22"/>
        </w:rPr>
        <w:t>. The Office of Equal Opportunity and Affirmative Action (OEO/AA) will handle all alleged sexual harassment matters pursuant to the Procedures set forth in Policy 5-210.</w:t>
      </w:r>
    </w:p>
    <w:p w14:paraId="056BE05E" w14:textId="77777777" w:rsidR="00D7563B" w:rsidRPr="00153B3E" w:rsidRDefault="00D7563B" w:rsidP="00D7563B">
      <w:pPr>
        <w:pStyle w:val="Heading3"/>
        <w:rPr>
          <w:rFonts w:eastAsiaTheme="minorHAnsi" w:cstheme="minorBidi"/>
          <w:b w:val="0"/>
          <w:bCs w:val="0"/>
          <w:sz w:val="22"/>
        </w:rPr>
      </w:pPr>
    </w:p>
    <w:p w14:paraId="168B2309" w14:textId="77777777" w:rsidR="00D7563B" w:rsidRPr="00153B3E" w:rsidRDefault="00D7563B" w:rsidP="00D7563B">
      <w:pPr>
        <w:pStyle w:val="Heading3"/>
        <w:rPr>
          <w:rFonts w:eastAsiaTheme="minorHAnsi" w:cstheme="minorBidi"/>
          <w:b w:val="0"/>
          <w:bCs w:val="0"/>
          <w:sz w:val="22"/>
        </w:rPr>
      </w:pPr>
      <w:r w:rsidRPr="00153B3E">
        <w:rPr>
          <w:rFonts w:eastAsiaTheme="minorHAnsi" w:cstheme="minorBidi"/>
          <w:b w:val="0"/>
          <w:bCs w:val="0"/>
          <w:sz w:val="22"/>
        </w:rPr>
        <w:t>Any student, staff, faculty member, or participant in university services or activities who believes that there is or has been sexual harassment should contact any of the following:</w:t>
      </w:r>
    </w:p>
    <w:p w14:paraId="72CBBC2D" w14:textId="77777777" w:rsidR="00D7563B" w:rsidRPr="00153B3E" w:rsidRDefault="00D7563B" w:rsidP="00D7563B">
      <w:pPr>
        <w:pStyle w:val="Heading3"/>
        <w:rPr>
          <w:rFonts w:eastAsiaTheme="minorHAnsi" w:cstheme="minorBidi"/>
          <w:b w:val="0"/>
          <w:bCs w:val="0"/>
          <w:sz w:val="22"/>
        </w:rPr>
      </w:pPr>
    </w:p>
    <w:p w14:paraId="0CFEF520" w14:textId="77777777" w:rsidR="00D7563B" w:rsidRPr="00153B3E" w:rsidRDefault="00D7563B" w:rsidP="00D7563B">
      <w:pPr>
        <w:pStyle w:val="Heading3"/>
        <w:numPr>
          <w:ilvl w:val="0"/>
          <w:numId w:val="28"/>
        </w:numPr>
        <w:rPr>
          <w:rFonts w:eastAsiaTheme="minorHAnsi" w:cstheme="minorBidi"/>
          <w:b w:val="0"/>
          <w:bCs w:val="0"/>
          <w:sz w:val="22"/>
        </w:rPr>
      </w:pPr>
      <w:proofErr w:type="gramStart"/>
      <w:r w:rsidRPr="00153B3E">
        <w:rPr>
          <w:rFonts w:eastAsiaTheme="minorHAnsi" w:cstheme="minorBidi"/>
          <w:b w:val="0"/>
          <w:bCs w:val="0"/>
          <w:sz w:val="22"/>
        </w:rPr>
        <w:t>the</w:t>
      </w:r>
      <w:proofErr w:type="gramEnd"/>
      <w:r w:rsidRPr="00153B3E">
        <w:rPr>
          <w:rFonts w:eastAsiaTheme="minorHAnsi" w:cstheme="minorBidi"/>
          <w:b w:val="0"/>
          <w:bCs w:val="0"/>
          <w:sz w:val="22"/>
        </w:rPr>
        <w:t xml:space="preserve"> cognizant academic chair of the department or the dean of the college within which the conduct occurred;</w:t>
      </w:r>
    </w:p>
    <w:p w14:paraId="2C0E79F5" w14:textId="77777777" w:rsidR="00D7563B" w:rsidRPr="00153B3E" w:rsidRDefault="00D7563B" w:rsidP="00D7563B">
      <w:pPr>
        <w:pStyle w:val="Heading3"/>
        <w:numPr>
          <w:ilvl w:val="0"/>
          <w:numId w:val="28"/>
        </w:numPr>
        <w:rPr>
          <w:rFonts w:eastAsiaTheme="minorHAnsi" w:cstheme="minorBidi"/>
          <w:b w:val="0"/>
          <w:bCs w:val="0"/>
          <w:sz w:val="22"/>
        </w:rPr>
      </w:pPr>
      <w:proofErr w:type="gramStart"/>
      <w:r w:rsidRPr="00153B3E">
        <w:rPr>
          <w:rFonts w:eastAsiaTheme="minorHAnsi" w:cstheme="minorBidi"/>
          <w:b w:val="0"/>
          <w:bCs w:val="0"/>
          <w:sz w:val="22"/>
        </w:rPr>
        <w:t>the</w:t>
      </w:r>
      <w:proofErr w:type="gramEnd"/>
      <w:r w:rsidRPr="00153B3E">
        <w:rPr>
          <w:rFonts w:eastAsiaTheme="minorHAnsi" w:cstheme="minorBidi"/>
          <w:b w:val="0"/>
          <w:bCs w:val="0"/>
          <w:sz w:val="22"/>
        </w:rPr>
        <w:t xml:space="preserve"> immediate supervisor or director of the operational unit within which the conduct occurred;</w:t>
      </w:r>
    </w:p>
    <w:p w14:paraId="426981B9" w14:textId="77777777" w:rsidR="00D7563B" w:rsidRPr="00153B3E" w:rsidRDefault="00D7563B" w:rsidP="00D7563B">
      <w:pPr>
        <w:pStyle w:val="Heading3"/>
        <w:numPr>
          <w:ilvl w:val="0"/>
          <w:numId w:val="28"/>
        </w:numPr>
        <w:rPr>
          <w:rFonts w:eastAsiaTheme="minorHAnsi" w:cstheme="minorBidi"/>
          <w:b w:val="0"/>
          <w:bCs w:val="0"/>
          <w:sz w:val="22"/>
        </w:rPr>
      </w:pPr>
      <w:proofErr w:type="gramStart"/>
      <w:r w:rsidRPr="00153B3E">
        <w:rPr>
          <w:rFonts w:eastAsiaTheme="minorHAnsi" w:cstheme="minorBidi"/>
          <w:b w:val="0"/>
          <w:bCs w:val="0"/>
          <w:sz w:val="22"/>
        </w:rPr>
        <w:t>the</w:t>
      </w:r>
      <w:proofErr w:type="gramEnd"/>
      <w:r w:rsidRPr="00153B3E">
        <w:rPr>
          <w:rFonts w:eastAsiaTheme="minorHAnsi" w:cstheme="minorBidi"/>
          <w:b w:val="0"/>
          <w:bCs w:val="0"/>
          <w:sz w:val="22"/>
        </w:rPr>
        <w:t xml:space="preserve"> Human Resources Division (Address: 420 </w:t>
      </w:r>
      <w:proofErr w:type="spellStart"/>
      <w:r w:rsidRPr="00153B3E">
        <w:rPr>
          <w:rFonts w:eastAsiaTheme="minorHAnsi" w:cstheme="minorBidi"/>
          <w:b w:val="0"/>
          <w:bCs w:val="0"/>
          <w:sz w:val="22"/>
        </w:rPr>
        <w:t>Wakara</w:t>
      </w:r>
      <w:proofErr w:type="spellEnd"/>
      <w:r w:rsidRPr="00153B3E">
        <w:rPr>
          <w:rFonts w:eastAsiaTheme="minorHAnsi" w:cstheme="minorBidi"/>
          <w:b w:val="0"/>
          <w:bCs w:val="0"/>
          <w:sz w:val="22"/>
        </w:rPr>
        <w:t xml:space="preserve"> Way, Suite 105, Salt Lake City, Utah 84108; Phone: 801-581-2169; TDD: 801-585-9070);</w:t>
      </w:r>
    </w:p>
    <w:p w14:paraId="64A26840" w14:textId="77777777" w:rsidR="00D7563B" w:rsidRPr="00153B3E" w:rsidRDefault="00D7563B" w:rsidP="00D7563B">
      <w:pPr>
        <w:pStyle w:val="Heading3"/>
        <w:numPr>
          <w:ilvl w:val="0"/>
          <w:numId w:val="28"/>
        </w:numPr>
        <w:rPr>
          <w:rFonts w:eastAsiaTheme="minorHAnsi" w:cstheme="minorBidi"/>
          <w:b w:val="0"/>
          <w:bCs w:val="0"/>
          <w:sz w:val="22"/>
        </w:rPr>
      </w:pPr>
      <w:proofErr w:type="gramStart"/>
      <w:r w:rsidRPr="00153B3E">
        <w:rPr>
          <w:rFonts w:eastAsiaTheme="minorHAnsi" w:cstheme="minorBidi"/>
          <w:b w:val="0"/>
          <w:bCs w:val="0"/>
          <w:sz w:val="22"/>
        </w:rPr>
        <w:t>directors</w:t>
      </w:r>
      <w:proofErr w:type="gramEnd"/>
      <w:r w:rsidRPr="00153B3E">
        <w:rPr>
          <w:rFonts w:eastAsiaTheme="minorHAnsi" w:cstheme="minorBidi"/>
          <w:b w:val="0"/>
          <w:bCs w:val="0"/>
          <w:sz w:val="22"/>
        </w:rPr>
        <w:t xml:space="preserve"> or deans of Student Affairs and Services (Associate Dean- SW 108; Phone: 801-581-8828);</w:t>
      </w:r>
    </w:p>
    <w:p w14:paraId="45865B7B" w14:textId="77777777" w:rsidR="00D7563B" w:rsidRPr="00153B3E" w:rsidRDefault="00D7563B" w:rsidP="00D7563B">
      <w:pPr>
        <w:pStyle w:val="Heading3"/>
        <w:numPr>
          <w:ilvl w:val="0"/>
          <w:numId w:val="28"/>
        </w:numPr>
        <w:rPr>
          <w:rFonts w:eastAsiaTheme="minorHAnsi" w:cstheme="minorBidi"/>
          <w:b w:val="0"/>
          <w:bCs w:val="0"/>
          <w:sz w:val="22"/>
        </w:rPr>
      </w:pPr>
      <w:proofErr w:type="gramStart"/>
      <w:r w:rsidRPr="00153B3E">
        <w:rPr>
          <w:rFonts w:eastAsiaTheme="minorHAnsi" w:cstheme="minorBidi"/>
          <w:b w:val="0"/>
          <w:bCs w:val="0"/>
          <w:sz w:val="22"/>
        </w:rPr>
        <w:t>or</w:t>
      </w:r>
      <w:proofErr w:type="gramEnd"/>
      <w:r w:rsidRPr="00153B3E">
        <w:rPr>
          <w:rFonts w:eastAsiaTheme="minorHAnsi" w:cstheme="minorBidi"/>
          <w:b w:val="0"/>
          <w:bCs w:val="0"/>
          <w:sz w:val="22"/>
        </w:rPr>
        <w:t xml:space="preserve"> the Office of Equal Opportunity and Affirmative Action (201 South Presidents Circle, John Park Building, Room 135, Salt Lake City, Utah 84112; Phone/TDD: 801-581-8365).</w:t>
      </w:r>
    </w:p>
    <w:p w14:paraId="4E705DAB" w14:textId="77777777" w:rsidR="00D7563B" w:rsidRPr="00153B3E" w:rsidRDefault="00D7563B" w:rsidP="00D7563B">
      <w:pPr>
        <w:pStyle w:val="Heading3"/>
        <w:rPr>
          <w:rFonts w:eastAsiaTheme="minorHAnsi" w:cstheme="minorBidi"/>
          <w:b w:val="0"/>
          <w:bCs w:val="0"/>
          <w:sz w:val="22"/>
        </w:rPr>
      </w:pPr>
    </w:p>
    <w:p w14:paraId="47C636BF" w14:textId="77777777" w:rsidR="00D7563B" w:rsidRPr="00153B3E" w:rsidRDefault="00D7563B" w:rsidP="00D7563B">
      <w:pPr>
        <w:pStyle w:val="Heading3"/>
        <w:rPr>
          <w:rFonts w:eastAsiaTheme="minorHAnsi" w:cstheme="minorBidi"/>
          <w:b w:val="0"/>
          <w:bCs w:val="0"/>
          <w:sz w:val="22"/>
        </w:rPr>
      </w:pPr>
      <w:r w:rsidRPr="00153B3E">
        <w:rPr>
          <w:rFonts w:eastAsiaTheme="minorHAnsi" w:cstheme="minorBidi"/>
          <w:b w:val="0"/>
          <w:bCs w:val="0"/>
          <w:sz w:val="22"/>
        </w:rPr>
        <w:t>Once informed, the supervisor, chair or dean shall consult with OEO/AA. Similarly, OEO/AA shall advise as appropriate the cognizant dean, staff director or administrator of any complaints of sexual harassment OEO/AA receives concerning a member of the faculty, staff or student body.</w:t>
      </w:r>
    </w:p>
    <w:p w14:paraId="1A2F1E1F" w14:textId="77777777" w:rsidR="00D7563B" w:rsidRPr="00153B3E" w:rsidRDefault="00D7563B" w:rsidP="00D7563B">
      <w:pPr>
        <w:rPr>
          <w:color w:val="414042"/>
        </w:rPr>
      </w:pPr>
    </w:p>
    <w:p w14:paraId="1CA351D9" w14:textId="77777777" w:rsidR="00D7563B" w:rsidRPr="00153B3E" w:rsidRDefault="00D7563B" w:rsidP="00D7563B">
      <w:pPr>
        <w:pStyle w:val="Heading3"/>
      </w:pPr>
      <w:r w:rsidRPr="00153B3E">
        <w:lastRenderedPageBreak/>
        <w:t>Attendance &amp; Punctuality</w:t>
      </w:r>
    </w:p>
    <w:p w14:paraId="492C00FF" w14:textId="2B020523" w:rsidR="00D7563B" w:rsidRPr="00D7563B" w:rsidRDefault="00D7563B" w:rsidP="00D7563B">
      <w:pPr>
        <w:rPr>
          <w:color w:val="414042"/>
        </w:rPr>
      </w:pPr>
      <w:r w:rsidRPr="00153B3E">
        <w:rPr>
          <w:color w:val="414042"/>
        </w:rPr>
        <w:t>"The University expects regular attendance at all class meetings. Instructors must communicate any particular attendance requirements of the course to students in writing on or before the first class meeting. Students are responsible for acquainting themselves with and satisfying the entire range of academic objectives and requirements as defined by the instructor." PPM, Policy 6-100III-O)</w:t>
      </w:r>
    </w:p>
    <w:p w14:paraId="382F1918" w14:textId="77777777" w:rsidR="00D7563B" w:rsidRPr="00153B3E" w:rsidRDefault="00D7563B" w:rsidP="00D7563B">
      <w:pPr>
        <w:pStyle w:val="Heading3"/>
      </w:pPr>
      <w:r w:rsidRPr="00153B3E">
        <w:t>Wellness Statement</w:t>
      </w:r>
    </w:p>
    <w:p w14:paraId="689A2016" w14:textId="77777777" w:rsidR="00D7563B" w:rsidRPr="00153B3E" w:rsidRDefault="00D7563B" w:rsidP="00D7563B">
      <w:pPr>
        <w:rPr>
          <w:color w:val="414042"/>
        </w:rPr>
      </w:pPr>
      <w:r w:rsidRPr="00153B3E">
        <w:rPr>
          <w:color w:val="414042"/>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at </w:t>
      </w:r>
      <w:hyperlink r:id="rId12" w:history="1">
        <w:r w:rsidRPr="00153B3E">
          <w:rPr>
            <w:rStyle w:val="Hyperlink"/>
            <w:u w:val="single"/>
          </w:rPr>
          <w:t>www.wellness.utah.edu</w:t>
        </w:r>
      </w:hyperlink>
      <w:r w:rsidRPr="00153B3E">
        <w:rPr>
          <w:color w:val="414042"/>
        </w:rPr>
        <w:t xml:space="preserve"> or 801-581-7776.</w:t>
      </w:r>
    </w:p>
    <w:p w14:paraId="7BCDE54D" w14:textId="77777777" w:rsidR="00D7563B" w:rsidRPr="00935695" w:rsidRDefault="00D7563B" w:rsidP="00D7563B">
      <w:pPr>
        <w:rPr>
          <w:rFonts w:ascii="Century Gothic" w:hAnsi="Century Gothic"/>
          <w:color w:val="414042"/>
        </w:rPr>
      </w:pPr>
      <w:r w:rsidRPr="00153B3E">
        <w:rPr>
          <w:rFonts w:ascii="Century Gothic" w:hAnsi="Century Gothic"/>
          <w:color w:val="414042"/>
        </w:rPr>
        <w:t xml:space="preserve">If you are struggling with mental health concerns, please contact the </w:t>
      </w:r>
      <w:hyperlink r:id="rId13" w:history="1">
        <w:r w:rsidRPr="00153B3E">
          <w:rPr>
            <w:rStyle w:val="Hyperlink"/>
            <w:rFonts w:ascii="Century Gothic" w:hAnsi="Century Gothic"/>
          </w:rPr>
          <w:t>University Counseling Center</w:t>
        </w:r>
      </w:hyperlink>
      <w:r w:rsidRPr="00153B3E">
        <w:rPr>
          <w:rFonts w:ascii="Century Gothic" w:hAnsi="Century Gothic"/>
          <w:color w:val="414042"/>
        </w:rPr>
        <w:t xml:space="preserve"> at 801-581-6826 during business hours. For after-hours urgent concerns, contact the 24/7 Crisis line at 801-587-3000.</w:t>
      </w:r>
    </w:p>
    <w:p w14:paraId="24E2AEBD" w14:textId="77777777" w:rsidR="00D7563B" w:rsidRPr="00153B3E" w:rsidRDefault="00D7563B" w:rsidP="00D7563B">
      <w:pPr>
        <w:pStyle w:val="Heading3"/>
      </w:pPr>
      <w:r w:rsidRPr="00153B3E">
        <w:t>Veterans Center</w:t>
      </w:r>
    </w:p>
    <w:p w14:paraId="35F6F23A" w14:textId="77777777" w:rsidR="00D7563B" w:rsidRPr="00153B3E" w:rsidRDefault="00D7563B" w:rsidP="00D7563B">
      <w:pPr>
        <w:rPr>
          <w:color w:val="414042"/>
        </w:rPr>
      </w:pPr>
      <w:r w:rsidRPr="00153B3E">
        <w:rPr>
          <w:color w:val="414042"/>
        </w:rPr>
        <w:t xml:space="preserve">If you are a </w:t>
      </w:r>
      <w:r w:rsidRPr="00935695">
        <w:rPr>
          <w:b/>
          <w:color w:val="414042"/>
        </w:rPr>
        <w:t>student veteran</w:t>
      </w:r>
      <w:r w:rsidRPr="00153B3E">
        <w:rPr>
          <w:color w:val="414042"/>
        </w:rPr>
        <w:t xml:space="preserve">, the U of Utah has a Veterans Support Center located in Room 161 in the </w:t>
      </w:r>
      <w:proofErr w:type="spellStart"/>
      <w:r w:rsidRPr="00153B3E">
        <w:rPr>
          <w:color w:val="414042"/>
        </w:rPr>
        <w:t>Olpin</w:t>
      </w:r>
      <w:proofErr w:type="spellEnd"/>
      <w:r w:rsidRPr="00153B3E">
        <w:rPr>
          <w:color w:val="414042"/>
        </w:rPr>
        <w:t xml:space="preserve"> Union Building. Hours: M-F 8-5pm. Please visit </w:t>
      </w:r>
      <w:proofErr w:type="gramStart"/>
      <w:r w:rsidRPr="00153B3E">
        <w:rPr>
          <w:color w:val="414042"/>
        </w:rPr>
        <w:t>their</w:t>
      </w:r>
      <w:proofErr w:type="gramEnd"/>
      <w:r w:rsidRPr="00153B3E">
        <w:rPr>
          <w:color w:val="414042"/>
        </w:rPr>
        <w:t xml:space="preserve"> website for more information about what support they offer, a list of ongoing events and links to outside resources: </w:t>
      </w:r>
      <w:hyperlink r:id="rId14" w:history="1">
        <w:r w:rsidRPr="00935695">
          <w:rPr>
            <w:rStyle w:val="Hyperlink"/>
            <w:u w:val="single"/>
          </w:rPr>
          <w:t>https://veteranscenter.utah.edu/</w:t>
        </w:r>
      </w:hyperlink>
      <w:r w:rsidRPr="00153B3E">
        <w:rPr>
          <w:color w:val="414042"/>
        </w:rPr>
        <w:t>. Please also let faculty know if you need any additional support in this class for any reason.</w:t>
      </w:r>
    </w:p>
    <w:p w14:paraId="5DB773B6" w14:textId="77777777" w:rsidR="00D7563B" w:rsidRPr="00153B3E" w:rsidRDefault="00D7563B" w:rsidP="00D7563B">
      <w:pPr>
        <w:pStyle w:val="Heading3"/>
      </w:pPr>
      <w:r w:rsidRPr="00153B3E">
        <w:t>LGBT</w:t>
      </w:r>
      <w:r>
        <w:t>Q</w:t>
      </w:r>
      <w:r w:rsidRPr="00153B3E">
        <w:t xml:space="preserve"> Resource Center</w:t>
      </w:r>
    </w:p>
    <w:p w14:paraId="3E9FBE91" w14:textId="77777777" w:rsidR="00D7563B" w:rsidRPr="00153B3E" w:rsidRDefault="00D7563B" w:rsidP="00D7563B">
      <w:pPr>
        <w:rPr>
          <w:color w:val="414042"/>
        </w:rPr>
      </w:pPr>
      <w:r>
        <w:rPr>
          <w:color w:val="414042"/>
        </w:rPr>
        <w:t xml:space="preserve">The University of Utah offers support for members of the LGBTQ Community through its Resource Center, located in Room 409 of the </w:t>
      </w:r>
      <w:proofErr w:type="spellStart"/>
      <w:r>
        <w:rPr>
          <w:color w:val="414042"/>
        </w:rPr>
        <w:t>Olpin</w:t>
      </w:r>
      <w:proofErr w:type="spellEnd"/>
      <w:r>
        <w:rPr>
          <w:color w:val="414042"/>
        </w:rPr>
        <w:t xml:space="preserve"> Union Building during regular business hours.  You can visit their website, </w:t>
      </w:r>
      <w:hyperlink r:id="rId15" w:history="1">
        <w:r w:rsidRPr="00935695">
          <w:rPr>
            <w:rStyle w:val="Hyperlink"/>
            <w:u w:val="single"/>
          </w:rPr>
          <w:t>https://lgbt.utah.edu/</w:t>
        </w:r>
      </w:hyperlink>
      <w:proofErr w:type="gramStart"/>
      <w:r>
        <w:rPr>
          <w:color w:val="414042"/>
        </w:rPr>
        <w:t>,  for</w:t>
      </w:r>
      <w:proofErr w:type="gramEnd"/>
      <w:r>
        <w:rPr>
          <w:color w:val="414042"/>
        </w:rPr>
        <w:t xml:space="preserve"> additional information.  </w:t>
      </w:r>
    </w:p>
    <w:p w14:paraId="115E88E9" w14:textId="77777777" w:rsidR="00D7563B" w:rsidRPr="00153B3E" w:rsidRDefault="00D7563B" w:rsidP="00D7563B">
      <w:pPr>
        <w:pStyle w:val="Heading3"/>
      </w:pPr>
      <w:r w:rsidRPr="00153B3E">
        <w:t>Syllabus Changes:</w:t>
      </w:r>
    </w:p>
    <w:p w14:paraId="73081E35" w14:textId="77777777" w:rsidR="00D7563B" w:rsidRPr="00153B3E" w:rsidRDefault="00D7563B" w:rsidP="00D7563B">
      <w:pPr>
        <w:rPr>
          <w:rFonts w:ascii="Century Gothic" w:hAnsi="Century Gothic"/>
          <w:color w:val="414042"/>
        </w:rPr>
      </w:pPr>
      <w:r w:rsidRPr="00153B3E">
        <w:rPr>
          <w:rFonts w:ascii="Century Gothic" w:hAnsi="Century Gothic"/>
          <w:color w:val="414042"/>
        </w:rPr>
        <w:t xml:space="preserve">The syllabus is not a binding legal contract. </w:t>
      </w:r>
      <w:proofErr w:type="gramStart"/>
      <w:r w:rsidRPr="00153B3E">
        <w:rPr>
          <w:rFonts w:ascii="Century Gothic" w:hAnsi="Century Gothic"/>
          <w:color w:val="414042"/>
        </w:rPr>
        <w:t>It may be modified by the instructor</w:t>
      </w:r>
      <w:proofErr w:type="gramEnd"/>
      <w:r w:rsidRPr="00153B3E">
        <w:rPr>
          <w:rFonts w:ascii="Century Gothic" w:hAnsi="Century Gothic"/>
          <w:color w:val="414042"/>
        </w:rPr>
        <w:t xml:space="preserve"> when the student is given reasonable notice of the modification, particularly when the modification is done to rectify an error that would disadvantage the student.</w:t>
      </w:r>
    </w:p>
    <w:p w14:paraId="197BC0AE" w14:textId="77777777" w:rsidR="00D7563B" w:rsidRPr="00153B3E" w:rsidRDefault="00D7563B" w:rsidP="00D7563B">
      <w:pPr>
        <w:pBdr>
          <w:bottom w:val="single" w:sz="6" w:space="1" w:color="auto"/>
        </w:pBdr>
        <w:rPr>
          <w:rFonts w:ascii="Century Gothic" w:hAnsi="Century Gothic"/>
          <w:color w:val="414042"/>
        </w:rPr>
      </w:pPr>
    </w:p>
    <w:p w14:paraId="3B9B9C91" w14:textId="77777777" w:rsidR="00D7563B" w:rsidRPr="00153B3E" w:rsidRDefault="00D7563B" w:rsidP="00D7563B">
      <w:pPr>
        <w:jc w:val="center"/>
        <w:rPr>
          <w:rFonts w:ascii="Century Gothic" w:hAnsi="Century Gothic"/>
          <w:i/>
          <w:color w:val="414042"/>
        </w:rPr>
      </w:pPr>
      <w:r w:rsidRPr="00153B3E">
        <w:rPr>
          <w:rFonts w:ascii="Century Gothic" w:hAnsi="Century Gothic"/>
          <w:i/>
          <w:color w:val="414042"/>
        </w:rPr>
        <w:t>Dismissal from a course and/or the College can result from unprofessional behavior.</w:t>
      </w:r>
    </w:p>
    <w:p w14:paraId="36B53FDE" w14:textId="0247E794" w:rsidR="007D565A" w:rsidRPr="000F71C1" w:rsidRDefault="007D565A" w:rsidP="00D7563B">
      <w:pPr>
        <w:pStyle w:val="Heading3"/>
        <w:rPr>
          <w:rFonts w:ascii="Century Gothic" w:hAnsi="Century Gothic"/>
          <w:i/>
        </w:rPr>
      </w:pPr>
    </w:p>
    <w:sectPr w:rsidR="007D565A" w:rsidRPr="000F71C1" w:rsidSect="0040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imes New Roman (Body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167A66"/>
    <w:lvl w:ilvl="0">
      <w:start w:val="1"/>
      <w:numFmt w:val="decimal"/>
      <w:lvlText w:val="%1."/>
      <w:lvlJc w:val="left"/>
      <w:pPr>
        <w:tabs>
          <w:tab w:val="num" w:pos="1800"/>
        </w:tabs>
        <w:ind w:left="1800" w:hanging="360"/>
      </w:pPr>
    </w:lvl>
  </w:abstractNum>
  <w:abstractNum w:abstractNumId="1">
    <w:nsid w:val="FFFFFF7D"/>
    <w:multiLevelType w:val="singleLevel"/>
    <w:tmpl w:val="1466FB12"/>
    <w:lvl w:ilvl="0">
      <w:start w:val="1"/>
      <w:numFmt w:val="decimal"/>
      <w:lvlText w:val="%1."/>
      <w:lvlJc w:val="left"/>
      <w:pPr>
        <w:tabs>
          <w:tab w:val="num" w:pos="1440"/>
        </w:tabs>
        <w:ind w:left="1440" w:hanging="360"/>
      </w:pPr>
    </w:lvl>
  </w:abstractNum>
  <w:abstractNum w:abstractNumId="2">
    <w:nsid w:val="FFFFFF7E"/>
    <w:multiLevelType w:val="singleLevel"/>
    <w:tmpl w:val="A4AA7CC6"/>
    <w:lvl w:ilvl="0">
      <w:start w:val="1"/>
      <w:numFmt w:val="decimal"/>
      <w:lvlText w:val="%1."/>
      <w:lvlJc w:val="left"/>
      <w:pPr>
        <w:tabs>
          <w:tab w:val="num" w:pos="1080"/>
        </w:tabs>
        <w:ind w:left="1080" w:hanging="360"/>
      </w:pPr>
    </w:lvl>
  </w:abstractNum>
  <w:abstractNum w:abstractNumId="3">
    <w:nsid w:val="FFFFFF7F"/>
    <w:multiLevelType w:val="singleLevel"/>
    <w:tmpl w:val="4F2811FC"/>
    <w:lvl w:ilvl="0">
      <w:start w:val="1"/>
      <w:numFmt w:val="decimal"/>
      <w:lvlText w:val="%1."/>
      <w:lvlJc w:val="left"/>
      <w:pPr>
        <w:tabs>
          <w:tab w:val="num" w:pos="720"/>
        </w:tabs>
        <w:ind w:left="720" w:hanging="360"/>
      </w:pPr>
    </w:lvl>
  </w:abstractNum>
  <w:abstractNum w:abstractNumId="4">
    <w:nsid w:val="FFFFFF80"/>
    <w:multiLevelType w:val="singleLevel"/>
    <w:tmpl w:val="04466C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7E64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E28D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9E2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388AEC"/>
    <w:lvl w:ilvl="0">
      <w:start w:val="1"/>
      <w:numFmt w:val="decimal"/>
      <w:lvlText w:val="%1."/>
      <w:lvlJc w:val="left"/>
      <w:pPr>
        <w:tabs>
          <w:tab w:val="num" w:pos="360"/>
        </w:tabs>
        <w:ind w:left="360" w:hanging="360"/>
      </w:pPr>
    </w:lvl>
  </w:abstractNum>
  <w:abstractNum w:abstractNumId="9">
    <w:nsid w:val="FFFFFF89"/>
    <w:multiLevelType w:val="singleLevel"/>
    <w:tmpl w:val="8516337E"/>
    <w:lvl w:ilvl="0">
      <w:start w:val="1"/>
      <w:numFmt w:val="bullet"/>
      <w:lvlText w:val=""/>
      <w:lvlJc w:val="left"/>
      <w:pPr>
        <w:tabs>
          <w:tab w:val="num" w:pos="360"/>
        </w:tabs>
        <w:ind w:left="360" w:hanging="360"/>
      </w:pPr>
      <w:rPr>
        <w:rFonts w:ascii="Symbol" w:hAnsi="Symbol" w:hint="default"/>
      </w:rPr>
    </w:lvl>
  </w:abstractNum>
  <w:abstractNum w:abstractNumId="10">
    <w:nsid w:val="121550ED"/>
    <w:multiLevelType w:val="hybridMultilevel"/>
    <w:tmpl w:val="C99AB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B362A"/>
    <w:multiLevelType w:val="multilevel"/>
    <w:tmpl w:val="37201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E5D76"/>
    <w:multiLevelType w:val="hybridMultilevel"/>
    <w:tmpl w:val="720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A30D7"/>
    <w:multiLevelType w:val="multilevel"/>
    <w:tmpl w:val="C10A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B5417"/>
    <w:multiLevelType w:val="hybridMultilevel"/>
    <w:tmpl w:val="916E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10EDC"/>
    <w:multiLevelType w:val="hybridMultilevel"/>
    <w:tmpl w:val="A2E8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35A67"/>
    <w:multiLevelType w:val="multilevel"/>
    <w:tmpl w:val="C4047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F7261"/>
    <w:multiLevelType w:val="multilevel"/>
    <w:tmpl w:val="8BE6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52619C"/>
    <w:multiLevelType w:val="hybridMultilevel"/>
    <w:tmpl w:val="D9B48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5A051B"/>
    <w:multiLevelType w:val="multilevel"/>
    <w:tmpl w:val="2E1A1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082AEF"/>
    <w:multiLevelType w:val="hybridMultilevel"/>
    <w:tmpl w:val="8B2A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319F3"/>
    <w:multiLevelType w:val="hybridMultilevel"/>
    <w:tmpl w:val="6686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90965"/>
    <w:multiLevelType w:val="hybridMultilevel"/>
    <w:tmpl w:val="26003E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2236DF"/>
    <w:multiLevelType w:val="hybridMultilevel"/>
    <w:tmpl w:val="7476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04D34"/>
    <w:multiLevelType w:val="hybridMultilevel"/>
    <w:tmpl w:val="D5C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B59F6"/>
    <w:multiLevelType w:val="hybridMultilevel"/>
    <w:tmpl w:val="D240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F1BEE"/>
    <w:multiLevelType w:val="multilevel"/>
    <w:tmpl w:val="79A8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B17F5B"/>
    <w:multiLevelType w:val="hybridMultilevel"/>
    <w:tmpl w:val="205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20"/>
  </w:num>
  <w:num w:numId="15">
    <w:abstractNumId w:val="15"/>
  </w:num>
  <w:num w:numId="16">
    <w:abstractNumId w:val="10"/>
  </w:num>
  <w:num w:numId="17">
    <w:abstractNumId w:val="26"/>
  </w:num>
  <w:num w:numId="18">
    <w:abstractNumId w:val="13"/>
  </w:num>
  <w:num w:numId="19">
    <w:abstractNumId w:val="17"/>
  </w:num>
  <w:num w:numId="20">
    <w:abstractNumId w:val="11"/>
  </w:num>
  <w:num w:numId="21">
    <w:abstractNumId w:val="19"/>
  </w:num>
  <w:num w:numId="22">
    <w:abstractNumId w:val="16"/>
  </w:num>
  <w:num w:numId="23">
    <w:abstractNumId w:val="24"/>
  </w:num>
  <w:num w:numId="24">
    <w:abstractNumId w:val="23"/>
  </w:num>
  <w:num w:numId="25">
    <w:abstractNumId w:val="18"/>
  </w:num>
  <w:num w:numId="26">
    <w:abstractNumId w:val="27"/>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03"/>
    <w:rsid w:val="000173E9"/>
    <w:rsid w:val="0003167E"/>
    <w:rsid w:val="00082BFA"/>
    <w:rsid w:val="0008319D"/>
    <w:rsid w:val="000933B6"/>
    <w:rsid w:val="000971E4"/>
    <w:rsid w:val="000C3298"/>
    <w:rsid w:val="000F71C1"/>
    <w:rsid w:val="00105930"/>
    <w:rsid w:val="0019122D"/>
    <w:rsid w:val="0019128F"/>
    <w:rsid w:val="001F639F"/>
    <w:rsid w:val="00217137"/>
    <w:rsid w:val="002311A4"/>
    <w:rsid w:val="00265FB3"/>
    <w:rsid w:val="00292B95"/>
    <w:rsid w:val="002B2322"/>
    <w:rsid w:val="00314DC9"/>
    <w:rsid w:val="00335A30"/>
    <w:rsid w:val="00354F4C"/>
    <w:rsid w:val="003743B5"/>
    <w:rsid w:val="00374BEB"/>
    <w:rsid w:val="0038757A"/>
    <w:rsid w:val="003A214E"/>
    <w:rsid w:val="003C6942"/>
    <w:rsid w:val="003F2022"/>
    <w:rsid w:val="003F5476"/>
    <w:rsid w:val="004045BD"/>
    <w:rsid w:val="0040776A"/>
    <w:rsid w:val="00413877"/>
    <w:rsid w:val="00416E61"/>
    <w:rsid w:val="00484A25"/>
    <w:rsid w:val="004B5A02"/>
    <w:rsid w:val="004D28AB"/>
    <w:rsid w:val="004D415A"/>
    <w:rsid w:val="004D6024"/>
    <w:rsid w:val="00513FCC"/>
    <w:rsid w:val="00562180"/>
    <w:rsid w:val="00575D1D"/>
    <w:rsid w:val="00580A7A"/>
    <w:rsid w:val="0059002A"/>
    <w:rsid w:val="00591964"/>
    <w:rsid w:val="005925BF"/>
    <w:rsid w:val="00596DF0"/>
    <w:rsid w:val="005E7CDC"/>
    <w:rsid w:val="006122B0"/>
    <w:rsid w:val="00626509"/>
    <w:rsid w:val="0063646D"/>
    <w:rsid w:val="00636B28"/>
    <w:rsid w:val="00640A0D"/>
    <w:rsid w:val="00690A38"/>
    <w:rsid w:val="006A6BB0"/>
    <w:rsid w:val="006B0318"/>
    <w:rsid w:val="006B2F3A"/>
    <w:rsid w:val="006B4C97"/>
    <w:rsid w:val="006B7468"/>
    <w:rsid w:val="006F72EA"/>
    <w:rsid w:val="00703123"/>
    <w:rsid w:val="00707770"/>
    <w:rsid w:val="007255D1"/>
    <w:rsid w:val="00725908"/>
    <w:rsid w:val="00726D0E"/>
    <w:rsid w:val="00754552"/>
    <w:rsid w:val="00785BEE"/>
    <w:rsid w:val="007870EB"/>
    <w:rsid w:val="00787911"/>
    <w:rsid w:val="007A05F8"/>
    <w:rsid w:val="007A48C0"/>
    <w:rsid w:val="007A5B39"/>
    <w:rsid w:val="007A7F8B"/>
    <w:rsid w:val="007C0300"/>
    <w:rsid w:val="007D1F4B"/>
    <w:rsid w:val="007D565A"/>
    <w:rsid w:val="008131EB"/>
    <w:rsid w:val="0081687F"/>
    <w:rsid w:val="008465C7"/>
    <w:rsid w:val="008560C5"/>
    <w:rsid w:val="00873E6E"/>
    <w:rsid w:val="008870D7"/>
    <w:rsid w:val="008A1097"/>
    <w:rsid w:val="008C6B56"/>
    <w:rsid w:val="008D65C6"/>
    <w:rsid w:val="00904E2E"/>
    <w:rsid w:val="00905BC3"/>
    <w:rsid w:val="0091525E"/>
    <w:rsid w:val="009208E1"/>
    <w:rsid w:val="00927FBB"/>
    <w:rsid w:val="009405B1"/>
    <w:rsid w:val="00962DAA"/>
    <w:rsid w:val="009A57A6"/>
    <w:rsid w:val="009A7D14"/>
    <w:rsid w:val="009B2626"/>
    <w:rsid w:val="00A41F66"/>
    <w:rsid w:val="00A67ECC"/>
    <w:rsid w:val="00AB4D4A"/>
    <w:rsid w:val="00AD2FCA"/>
    <w:rsid w:val="00B517D0"/>
    <w:rsid w:val="00B96407"/>
    <w:rsid w:val="00BB67BE"/>
    <w:rsid w:val="00BF1937"/>
    <w:rsid w:val="00BF31D7"/>
    <w:rsid w:val="00C108DE"/>
    <w:rsid w:val="00C22BF0"/>
    <w:rsid w:val="00C43AAE"/>
    <w:rsid w:val="00C5573A"/>
    <w:rsid w:val="00C6755D"/>
    <w:rsid w:val="00C71DC9"/>
    <w:rsid w:val="00C92D93"/>
    <w:rsid w:val="00CD2931"/>
    <w:rsid w:val="00CD584D"/>
    <w:rsid w:val="00D210F5"/>
    <w:rsid w:val="00D4216E"/>
    <w:rsid w:val="00D6144A"/>
    <w:rsid w:val="00D74159"/>
    <w:rsid w:val="00D7563B"/>
    <w:rsid w:val="00D81CAD"/>
    <w:rsid w:val="00D95AC7"/>
    <w:rsid w:val="00D96C36"/>
    <w:rsid w:val="00DA681A"/>
    <w:rsid w:val="00DD41B0"/>
    <w:rsid w:val="00DE1AA4"/>
    <w:rsid w:val="00DE7648"/>
    <w:rsid w:val="00E02C78"/>
    <w:rsid w:val="00E04E9B"/>
    <w:rsid w:val="00E30F84"/>
    <w:rsid w:val="00E42242"/>
    <w:rsid w:val="00E45FF1"/>
    <w:rsid w:val="00E707A3"/>
    <w:rsid w:val="00EC3ACA"/>
    <w:rsid w:val="00EC634F"/>
    <w:rsid w:val="00EC78A0"/>
    <w:rsid w:val="00ED4B05"/>
    <w:rsid w:val="00EE5560"/>
    <w:rsid w:val="00F00951"/>
    <w:rsid w:val="00F11784"/>
    <w:rsid w:val="00F11DA2"/>
    <w:rsid w:val="00F51FBC"/>
    <w:rsid w:val="00F566EA"/>
    <w:rsid w:val="00FD3703"/>
    <w:rsid w:val="00FF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5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BF"/>
    <w:pPr>
      <w:spacing w:after="180" w:line="274" w:lineRule="auto"/>
    </w:pPr>
  </w:style>
  <w:style w:type="paragraph" w:styleId="Heading1">
    <w:name w:val="heading 1"/>
    <w:basedOn w:val="Normal"/>
    <w:next w:val="Normal"/>
    <w:link w:val="Heading1Char"/>
    <w:uiPriority w:val="9"/>
    <w:qFormat/>
    <w:rsid w:val="005925BF"/>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5925B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9405B1"/>
    <w:pPr>
      <w:keepNext/>
      <w:keepLines/>
      <w:spacing w:before="20" w:after="0" w:line="240" w:lineRule="auto"/>
      <w:outlineLvl w:val="2"/>
    </w:pPr>
    <w:rPr>
      <w:rFonts w:eastAsiaTheme="majorEastAsia" w:cstheme="majorBidi"/>
      <w:b/>
      <w:bCs/>
      <w:color w:val="414042"/>
      <w:sz w:val="24"/>
    </w:rPr>
  </w:style>
  <w:style w:type="paragraph" w:styleId="Heading4">
    <w:name w:val="heading 4"/>
    <w:basedOn w:val="Normal"/>
    <w:next w:val="Normal"/>
    <w:link w:val="Heading4Char"/>
    <w:uiPriority w:val="9"/>
    <w:semiHidden/>
    <w:unhideWhenUsed/>
    <w:qFormat/>
    <w:rsid w:val="005925B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5925B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925B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5925B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5925B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925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5BF"/>
    <w:rPr>
      <w:rFonts w:asciiTheme="majorHAnsi" w:eastAsiaTheme="majorEastAsia" w:hAnsiTheme="majorHAnsi" w:cstheme="majorBidi"/>
      <w:bCs/>
      <w:color w:val="44546A" w:themeColor="text2"/>
      <w:sz w:val="32"/>
      <w:szCs w:val="28"/>
    </w:rPr>
  </w:style>
  <w:style w:type="table" w:styleId="TableGrid">
    <w:name w:val="Table Grid"/>
    <w:basedOn w:val="TableNormal"/>
    <w:uiPriority w:val="39"/>
    <w:rsid w:val="00626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5BF"/>
    <w:pPr>
      <w:spacing w:line="240" w:lineRule="auto"/>
      <w:ind w:left="720" w:hanging="288"/>
      <w:contextualSpacing/>
    </w:pPr>
    <w:rPr>
      <w:color w:val="44546A" w:themeColor="text2"/>
    </w:rPr>
  </w:style>
  <w:style w:type="character" w:customStyle="1" w:styleId="Heading2Char">
    <w:name w:val="Heading 2 Char"/>
    <w:basedOn w:val="DefaultParagraphFont"/>
    <w:link w:val="Heading2"/>
    <w:uiPriority w:val="9"/>
    <w:rsid w:val="005925B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rsid w:val="009405B1"/>
    <w:rPr>
      <w:rFonts w:eastAsiaTheme="majorEastAsia" w:cstheme="majorBidi"/>
      <w:b/>
      <w:bCs/>
      <w:color w:val="414042"/>
      <w:sz w:val="24"/>
    </w:rPr>
  </w:style>
  <w:style w:type="character" w:styleId="Hyperlink">
    <w:name w:val="Hyperlink"/>
    <w:uiPriority w:val="99"/>
    <w:unhideWhenUsed/>
    <w:rsid w:val="00FF3D81"/>
    <w:rPr>
      <w:color w:val="414042"/>
    </w:rPr>
  </w:style>
  <w:style w:type="character" w:customStyle="1" w:styleId="UnresolvedMention">
    <w:name w:val="Unresolved Mention"/>
    <w:basedOn w:val="DefaultParagraphFont"/>
    <w:uiPriority w:val="99"/>
    <w:semiHidden/>
    <w:unhideWhenUsed/>
    <w:rsid w:val="009B2626"/>
    <w:rPr>
      <w:color w:val="605E5C"/>
      <w:shd w:val="clear" w:color="auto" w:fill="E1DFDD"/>
    </w:rPr>
  </w:style>
  <w:style w:type="character" w:styleId="FollowedHyperlink">
    <w:name w:val="FollowedHyperlink"/>
    <w:basedOn w:val="DefaultParagraphFont"/>
    <w:uiPriority w:val="99"/>
    <w:semiHidden/>
    <w:unhideWhenUsed/>
    <w:rsid w:val="00FF3D81"/>
    <w:rPr>
      <w:color w:val="414042"/>
      <w:u w:val="none"/>
    </w:rPr>
  </w:style>
  <w:style w:type="paragraph" w:customStyle="1" w:styleId="PersonalName">
    <w:name w:val="Personal Name"/>
    <w:basedOn w:val="Title"/>
    <w:qFormat/>
    <w:rsid w:val="005925BF"/>
    <w:rPr>
      <w:b/>
      <w:caps/>
      <w:color w:val="000000"/>
      <w:sz w:val="28"/>
      <w:szCs w:val="28"/>
    </w:rPr>
  </w:style>
  <w:style w:type="paragraph" w:styleId="Title">
    <w:name w:val="Title"/>
    <w:basedOn w:val="Normal"/>
    <w:next w:val="Normal"/>
    <w:link w:val="TitleChar"/>
    <w:uiPriority w:val="10"/>
    <w:qFormat/>
    <w:rsid w:val="005925B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5925B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4Char">
    <w:name w:val="Heading 4 Char"/>
    <w:basedOn w:val="DefaultParagraphFont"/>
    <w:link w:val="Heading4"/>
    <w:uiPriority w:val="9"/>
    <w:semiHidden/>
    <w:rsid w:val="005925B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5925B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925B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5925B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5925B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925B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925B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5925B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5925B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5925BF"/>
    <w:rPr>
      <w:b/>
      <w:bCs/>
      <w:color w:val="50637D" w:themeColor="text2" w:themeTint="E6"/>
    </w:rPr>
  </w:style>
  <w:style w:type="character" w:styleId="Emphasis">
    <w:name w:val="Emphasis"/>
    <w:basedOn w:val="DefaultParagraphFont"/>
    <w:uiPriority w:val="20"/>
    <w:qFormat/>
    <w:rsid w:val="005925BF"/>
    <w:rPr>
      <w:b w:val="0"/>
      <w:i/>
      <w:iCs/>
      <w:color w:val="44546A" w:themeColor="text2"/>
    </w:rPr>
  </w:style>
  <w:style w:type="paragraph" w:styleId="NoSpacing">
    <w:name w:val="No Spacing"/>
    <w:link w:val="NoSpacingChar"/>
    <w:uiPriority w:val="1"/>
    <w:qFormat/>
    <w:rsid w:val="005925BF"/>
    <w:pPr>
      <w:spacing w:after="0" w:line="240" w:lineRule="auto"/>
    </w:pPr>
  </w:style>
  <w:style w:type="character" w:customStyle="1" w:styleId="NoSpacingChar">
    <w:name w:val="No Spacing Char"/>
    <w:basedOn w:val="DefaultParagraphFont"/>
    <w:link w:val="NoSpacing"/>
    <w:uiPriority w:val="1"/>
    <w:rsid w:val="005925BF"/>
  </w:style>
  <w:style w:type="paragraph" w:styleId="Quote">
    <w:name w:val="Quote"/>
    <w:basedOn w:val="Normal"/>
    <w:next w:val="Normal"/>
    <w:link w:val="QuoteChar"/>
    <w:uiPriority w:val="29"/>
    <w:qFormat/>
    <w:rsid w:val="005925BF"/>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5925BF"/>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5925B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5925B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5925BF"/>
    <w:rPr>
      <w:i/>
      <w:iCs/>
      <w:color w:val="000000"/>
    </w:rPr>
  </w:style>
  <w:style w:type="character" w:styleId="IntenseEmphasis">
    <w:name w:val="Intense Emphasis"/>
    <w:basedOn w:val="DefaultParagraphFont"/>
    <w:uiPriority w:val="21"/>
    <w:qFormat/>
    <w:rsid w:val="005925BF"/>
    <w:rPr>
      <w:b/>
      <w:bCs/>
      <w:i/>
      <w:iCs/>
      <w:color w:val="44546A" w:themeColor="text2"/>
    </w:rPr>
  </w:style>
  <w:style w:type="character" w:styleId="SubtleReference">
    <w:name w:val="Subtle Reference"/>
    <w:basedOn w:val="DefaultParagraphFont"/>
    <w:uiPriority w:val="31"/>
    <w:qFormat/>
    <w:rsid w:val="005925BF"/>
    <w:rPr>
      <w:smallCaps/>
      <w:color w:val="000000"/>
      <w:u w:val="single"/>
    </w:rPr>
  </w:style>
  <w:style w:type="character" w:styleId="IntenseReference">
    <w:name w:val="Intense Reference"/>
    <w:basedOn w:val="DefaultParagraphFont"/>
    <w:uiPriority w:val="32"/>
    <w:qFormat/>
    <w:rsid w:val="005925B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5925BF"/>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5925BF"/>
    <w:pPr>
      <w:spacing w:before="480" w:line="264" w:lineRule="auto"/>
      <w:outlineLvl w:val="9"/>
    </w:pPr>
    <w:rPr>
      <w:b/>
    </w:rPr>
  </w:style>
  <w:style w:type="table" w:customStyle="1" w:styleId="PlainTable2">
    <w:name w:val="Plain Table 2"/>
    <w:basedOn w:val="TableNormal"/>
    <w:uiPriority w:val="42"/>
    <w:rsid w:val="00575D1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5D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D210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D210F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E7CDC"/>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BF"/>
    <w:pPr>
      <w:spacing w:after="180" w:line="274" w:lineRule="auto"/>
    </w:pPr>
  </w:style>
  <w:style w:type="paragraph" w:styleId="Heading1">
    <w:name w:val="heading 1"/>
    <w:basedOn w:val="Normal"/>
    <w:next w:val="Normal"/>
    <w:link w:val="Heading1Char"/>
    <w:uiPriority w:val="9"/>
    <w:qFormat/>
    <w:rsid w:val="005925BF"/>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5925B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9405B1"/>
    <w:pPr>
      <w:keepNext/>
      <w:keepLines/>
      <w:spacing w:before="20" w:after="0" w:line="240" w:lineRule="auto"/>
      <w:outlineLvl w:val="2"/>
    </w:pPr>
    <w:rPr>
      <w:rFonts w:eastAsiaTheme="majorEastAsia" w:cstheme="majorBidi"/>
      <w:b/>
      <w:bCs/>
      <w:color w:val="414042"/>
      <w:sz w:val="24"/>
    </w:rPr>
  </w:style>
  <w:style w:type="paragraph" w:styleId="Heading4">
    <w:name w:val="heading 4"/>
    <w:basedOn w:val="Normal"/>
    <w:next w:val="Normal"/>
    <w:link w:val="Heading4Char"/>
    <w:uiPriority w:val="9"/>
    <w:semiHidden/>
    <w:unhideWhenUsed/>
    <w:qFormat/>
    <w:rsid w:val="005925B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5925B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925B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5925B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5925B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925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5BF"/>
    <w:rPr>
      <w:rFonts w:asciiTheme="majorHAnsi" w:eastAsiaTheme="majorEastAsia" w:hAnsiTheme="majorHAnsi" w:cstheme="majorBidi"/>
      <w:bCs/>
      <w:color w:val="44546A" w:themeColor="text2"/>
      <w:sz w:val="32"/>
      <w:szCs w:val="28"/>
    </w:rPr>
  </w:style>
  <w:style w:type="table" w:styleId="TableGrid">
    <w:name w:val="Table Grid"/>
    <w:basedOn w:val="TableNormal"/>
    <w:uiPriority w:val="39"/>
    <w:rsid w:val="00626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5BF"/>
    <w:pPr>
      <w:spacing w:line="240" w:lineRule="auto"/>
      <w:ind w:left="720" w:hanging="288"/>
      <w:contextualSpacing/>
    </w:pPr>
    <w:rPr>
      <w:color w:val="44546A" w:themeColor="text2"/>
    </w:rPr>
  </w:style>
  <w:style w:type="character" w:customStyle="1" w:styleId="Heading2Char">
    <w:name w:val="Heading 2 Char"/>
    <w:basedOn w:val="DefaultParagraphFont"/>
    <w:link w:val="Heading2"/>
    <w:uiPriority w:val="9"/>
    <w:rsid w:val="005925B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rsid w:val="009405B1"/>
    <w:rPr>
      <w:rFonts w:eastAsiaTheme="majorEastAsia" w:cstheme="majorBidi"/>
      <w:b/>
      <w:bCs/>
      <w:color w:val="414042"/>
      <w:sz w:val="24"/>
    </w:rPr>
  </w:style>
  <w:style w:type="character" w:styleId="Hyperlink">
    <w:name w:val="Hyperlink"/>
    <w:uiPriority w:val="99"/>
    <w:unhideWhenUsed/>
    <w:rsid w:val="00FF3D81"/>
    <w:rPr>
      <w:color w:val="414042"/>
    </w:rPr>
  </w:style>
  <w:style w:type="character" w:customStyle="1" w:styleId="UnresolvedMention">
    <w:name w:val="Unresolved Mention"/>
    <w:basedOn w:val="DefaultParagraphFont"/>
    <w:uiPriority w:val="99"/>
    <w:semiHidden/>
    <w:unhideWhenUsed/>
    <w:rsid w:val="009B2626"/>
    <w:rPr>
      <w:color w:val="605E5C"/>
      <w:shd w:val="clear" w:color="auto" w:fill="E1DFDD"/>
    </w:rPr>
  </w:style>
  <w:style w:type="character" w:styleId="FollowedHyperlink">
    <w:name w:val="FollowedHyperlink"/>
    <w:basedOn w:val="DefaultParagraphFont"/>
    <w:uiPriority w:val="99"/>
    <w:semiHidden/>
    <w:unhideWhenUsed/>
    <w:rsid w:val="00FF3D81"/>
    <w:rPr>
      <w:color w:val="414042"/>
      <w:u w:val="none"/>
    </w:rPr>
  </w:style>
  <w:style w:type="paragraph" w:customStyle="1" w:styleId="PersonalName">
    <w:name w:val="Personal Name"/>
    <w:basedOn w:val="Title"/>
    <w:qFormat/>
    <w:rsid w:val="005925BF"/>
    <w:rPr>
      <w:b/>
      <w:caps/>
      <w:color w:val="000000"/>
      <w:sz w:val="28"/>
      <w:szCs w:val="28"/>
    </w:rPr>
  </w:style>
  <w:style w:type="paragraph" w:styleId="Title">
    <w:name w:val="Title"/>
    <w:basedOn w:val="Normal"/>
    <w:next w:val="Normal"/>
    <w:link w:val="TitleChar"/>
    <w:uiPriority w:val="10"/>
    <w:qFormat/>
    <w:rsid w:val="005925B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5925B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4Char">
    <w:name w:val="Heading 4 Char"/>
    <w:basedOn w:val="DefaultParagraphFont"/>
    <w:link w:val="Heading4"/>
    <w:uiPriority w:val="9"/>
    <w:semiHidden/>
    <w:rsid w:val="005925B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5925B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925B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5925B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5925B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925B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925B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5925B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5925B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5925BF"/>
    <w:rPr>
      <w:b/>
      <w:bCs/>
      <w:color w:val="50637D" w:themeColor="text2" w:themeTint="E6"/>
    </w:rPr>
  </w:style>
  <w:style w:type="character" w:styleId="Emphasis">
    <w:name w:val="Emphasis"/>
    <w:basedOn w:val="DefaultParagraphFont"/>
    <w:uiPriority w:val="20"/>
    <w:qFormat/>
    <w:rsid w:val="005925BF"/>
    <w:rPr>
      <w:b w:val="0"/>
      <w:i/>
      <w:iCs/>
      <w:color w:val="44546A" w:themeColor="text2"/>
    </w:rPr>
  </w:style>
  <w:style w:type="paragraph" w:styleId="NoSpacing">
    <w:name w:val="No Spacing"/>
    <w:link w:val="NoSpacingChar"/>
    <w:uiPriority w:val="1"/>
    <w:qFormat/>
    <w:rsid w:val="005925BF"/>
    <w:pPr>
      <w:spacing w:after="0" w:line="240" w:lineRule="auto"/>
    </w:pPr>
  </w:style>
  <w:style w:type="character" w:customStyle="1" w:styleId="NoSpacingChar">
    <w:name w:val="No Spacing Char"/>
    <w:basedOn w:val="DefaultParagraphFont"/>
    <w:link w:val="NoSpacing"/>
    <w:uiPriority w:val="1"/>
    <w:rsid w:val="005925BF"/>
  </w:style>
  <w:style w:type="paragraph" w:styleId="Quote">
    <w:name w:val="Quote"/>
    <w:basedOn w:val="Normal"/>
    <w:next w:val="Normal"/>
    <w:link w:val="QuoteChar"/>
    <w:uiPriority w:val="29"/>
    <w:qFormat/>
    <w:rsid w:val="005925BF"/>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5925BF"/>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5925B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5925B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5925BF"/>
    <w:rPr>
      <w:i/>
      <w:iCs/>
      <w:color w:val="000000"/>
    </w:rPr>
  </w:style>
  <w:style w:type="character" w:styleId="IntenseEmphasis">
    <w:name w:val="Intense Emphasis"/>
    <w:basedOn w:val="DefaultParagraphFont"/>
    <w:uiPriority w:val="21"/>
    <w:qFormat/>
    <w:rsid w:val="005925BF"/>
    <w:rPr>
      <w:b/>
      <w:bCs/>
      <w:i/>
      <w:iCs/>
      <w:color w:val="44546A" w:themeColor="text2"/>
    </w:rPr>
  </w:style>
  <w:style w:type="character" w:styleId="SubtleReference">
    <w:name w:val="Subtle Reference"/>
    <w:basedOn w:val="DefaultParagraphFont"/>
    <w:uiPriority w:val="31"/>
    <w:qFormat/>
    <w:rsid w:val="005925BF"/>
    <w:rPr>
      <w:smallCaps/>
      <w:color w:val="000000"/>
      <w:u w:val="single"/>
    </w:rPr>
  </w:style>
  <w:style w:type="character" w:styleId="IntenseReference">
    <w:name w:val="Intense Reference"/>
    <w:basedOn w:val="DefaultParagraphFont"/>
    <w:uiPriority w:val="32"/>
    <w:qFormat/>
    <w:rsid w:val="005925B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5925BF"/>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5925BF"/>
    <w:pPr>
      <w:spacing w:before="480" w:line="264" w:lineRule="auto"/>
      <w:outlineLvl w:val="9"/>
    </w:pPr>
    <w:rPr>
      <w:b/>
    </w:rPr>
  </w:style>
  <w:style w:type="table" w:customStyle="1" w:styleId="PlainTable2">
    <w:name w:val="Plain Table 2"/>
    <w:basedOn w:val="TableNormal"/>
    <w:uiPriority w:val="42"/>
    <w:rsid w:val="00575D1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5D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D210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D210F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E7CDC"/>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513">
      <w:bodyDiv w:val="1"/>
      <w:marLeft w:val="0"/>
      <w:marRight w:val="0"/>
      <w:marTop w:val="0"/>
      <w:marBottom w:val="0"/>
      <w:divBdr>
        <w:top w:val="none" w:sz="0" w:space="0" w:color="auto"/>
        <w:left w:val="none" w:sz="0" w:space="0" w:color="auto"/>
        <w:bottom w:val="none" w:sz="0" w:space="0" w:color="auto"/>
        <w:right w:val="none" w:sz="0" w:space="0" w:color="auto"/>
      </w:divBdr>
    </w:div>
    <w:div w:id="977340375">
      <w:bodyDiv w:val="1"/>
      <w:marLeft w:val="0"/>
      <w:marRight w:val="0"/>
      <w:marTop w:val="0"/>
      <w:marBottom w:val="0"/>
      <w:divBdr>
        <w:top w:val="none" w:sz="0" w:space="0" w:color="auto"/>
        <w:left w:val="none" w:sz="0" w:space="0" w:color="auto"/>
        <w:bottom w:val="none" w:sz="0" w:space="0" w:color="auto"/>
        <w:right w:val="none" w:sz="0" w:space="0" w:color="auto"/>
      </w:divBdr>
    </w:div>
    <w:div w:id="11832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afeu.utah.edu/" TargetMode="External"/><Relationship Id="rId12" Type="http://schemas.openxmlformats.org/officeDocument/2006/relationships/hyperlink" Target="https://wellness.utah.edu/" TargetMode="External"/><Relationship Id="rId13" Type="http://schemas.openxmlformats.org/officeDocument/2006/relationships/hyperlink" Target="https://counselingcenter.utah.edu/" TargetMode="External"/><Relationship Id="rId14" Type="http://schemas.openxmlformats.org/officeDocument/2006/relationships/hyperlink" Target="https://veteranscenter.utah.edu/" TargetMode="External"/><Relationship Id="rId15" Type="http://schemas.openxmlformats.org/officeDocument/2006/relationships/hyperlink" Target="https://lgbt.utah.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Logo"/><Relationship Id="rId8" Type="http://schemas.openxmlformats.org/officeDocument/2006/relationships/image" Target="media/image1.png"/><Relationship Id="rId9" Type="http://schemas.openxmlformats.org/officeDocument/2006/relationships/hyperlink" Target="mailto:erin.cole@nurs.utah.edu" TargetMode="External"/><Relationship Id="rId10" Type="http://schemas.openxmlformats.org/officeDocument/2006/relationships/hyperlink" Target="https://regulations.utah.edu/academics/guides/students/studentRight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ncole:Documents:Professional:University%20of%20Utah%20Courses:NURS%206113-%20PP/NB:2019:syllabus:2019%20CON%20Course%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74B2-34FD-6746-AACD-A80EF4FE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CON Course Syllabus.dotx</Template>
  <TotalTime>47</TotalTime>
  <Pages>8</Pages>
  <Words>2912</Words>
  <Characters>16605</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Waterford School</dc:creator>
  <cp:keywords/>
  <dc:description/>
  <cp:lastModifiedBy>Waterford School</cp:lastModifiedBy>
  <cp:revision>6</cp:revision>
  <dcterms:created xsi:type="dcterms:W3CDTF">2019-12-31T20:26:00Z</dcterms:created>
  <dcterms:modified xsi:type="dcterms:W3CDTF">2020-01-02T21:49:00Z</dcterms:modified>
</cp:coreProperties>
</file>