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756" w14:textId="301F9EA4" w:rsidR="0046408F" w:rsidRDefault="0046408F" w:rsidP="009F43E5">
      <w:pPr>
        <w:pStyle w:val="OMBInfo"/>
        <w:jc w:val="center"/>
      </w:pPr>
    </w:p>
    <w:tbl>
      <w:tblPr>
        <w:tblW w:w="4996" w:type="pct"/>
        <w:tblInd w:w="8" w:type="dxa"/>
        <w:tblBorders>
          <w:top w:val="outset" w:sz="6" w:space="0" w:color="000000"/>
        </w:tblBorders>
        <w:tblCellMar>
          <w:top w:w="15" w:type="dxa"/>
          <w:left w:w="15" w:type="dxa"/>
          <w:bottom w:w="15" w:type="dxa"/>
          <w:right w:w="15" w:type="dxa"/>
        </w:tblCellMar>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10719"/>
        <w:gridCol w:w="36"/>
        <w:gridCol w:w="36"/>
      </w:tblGrid>
      <w:tr w:rsidR="005F6EE3" w:rsidRPr="00125E53" w14:paraId="19CCA094" w14:textId="77777777" w:rsidTr="006816FA">
        <w:tc>
          <w:tcPr>
            <w:tcW w:w="0" w:type="auto"/>
            <w:tcBorders>
              <w:top w:val="nil"/>
              <w:left w:val="nil"/>
              <w:bottom w:val="nil"/>
              <w:right w:val="nil"/>
            </w:tcBorders>
            <w:vAlign w:val="center"/>
          </w:tcPr>
          <w:p w14:paraId="38ACDCA1" w14:textId="77777777" w:rsidR="00125E53" w:rsidRDefault="00125E53" w:rsidP="00125E53">
            <w:pPr>
              <w:pStyle w:val="DataField11pt-Single"/>
              <w:contextualSpacing/>
              <w:rPr>
                <w:rStyle w:val="Strong"/>
                <w:bCs w:val="0"/>
                <w:szCs w:val="22"/>
              </w:rPr>
            </w:pPr>
          </w:p>
          <w:p w14:paraId="77BC0B86" w14:textId="1D5E486A" w:rsidR="009D34A1" w:rsidRPr="00125E53" w:rsidRDefault="009F43E5" w:rsidP="00125E53">
            <w:pPr>
              <w:pStyle w:val="DataField11pt-Single"/>
              <w:contextualSpacing/>
              <w:rPr>
                <w:rStyle w:val="Strong"/>
                <w:szCs w:val="22"/>
              </w:rPr>
            </w:pPr>
            <w:r>
              <w:rPr>
                <w:rStyle w:val="Strong"/>
                <w:szCs w:val="22"/>
              </w:rPr>
              <w:t xml:space="preserve">Dr Estabrooks’ </w:t>
            </w:r>
            <w:r w:rsidR="009D34A1" w:rsidRPr="00125E53">
              <w:rPr>
                <w:rStyle w:val="Strong"/>
                <w:szCs w:val="22"/>
              </w:rPr>
              <w:t>Contributions to Science</w:t>
            </w:r>
          </w:p>
          <w:p w14:paraId="59068FA3" w14:textId="77777777" w:rsidR="005906A9" w:rsidRPr="00125E53" w:rsidRDefault="005906A9" w:rsidP="00125E53">
            <w:pPr>
              <w:contextualSpacing/>
              <w:rPr>
                <w:rFonts w:cs="Arial"/>
                <w:szCs w:val="22"/>
              </w:rPr>
            </w:pPr>
          </w:p>
          <w:p w14:paraId="62F2DF79" w14:textId="1DA2048B" w:rsidR="00240528" w:rsidRPr="009F43E5" w:rsidRDefault="00240528" w:rsidP="00033E14">
            <w:pPr>
              <w:pStyle w:val="ListParagraph"/>
              <w:numPr>
                <w:ilvl w:val="0"/>
                <w:numId w:val="30"/>
              </w:numPr>
              <w:tabs>
                <w:tab w:val="clear" w:pos="720"/>
              </w:tabs>
              <w:ind w:left="420"/>
              <w:rPr>
                <w:rFonts w:cs="Arial"/>
                <w:szCs w:val="22"/>
              </w:rPr>
            </w:pPr>
            <w:r w:rsidRPr="009F43E5">
              <w:rPr>
                <w:rFonts w:cs="Arial"/>
                <w:b/>
                <w:szCs w:val="22"/>
              </w:rPr>
              <w:t>Using dissemination and implementation science frameworks to balance internal and external validity in health behavior research</w:t>
            </w:r>
            <w:r w:rsidRPr="009F43E5">
              <w:rPr>
                <w:rFonts w:cs="Arial"/>
                <w:szCs w:val="22"/>
              </w:rPr>
              <w:t xml:space="preserve">. As part of the RE-AIM workgroup since 1999, I have published several planning and evaluation papers using this framework and developed a set of recommendations for researchers to improve the likelihood that evidence-based interventions can be taken to scale and have a public health impact. Specifically, my work has highlighted the importance of understanding intervention reach, effectiveness, and maintenance of effect at the participant level while also addressing intervention adoption decisions, implementation, and sustainability at the organizational level. I have completed over 20 national and international training workshops focused on RE-AIM, have consulted with national organizations on applying the framework, and use the framework regularly across my intervention research projects. </w:t>
            </w:r>
          </w:p>
          <w:p w14:paraId="7037B622" w14:textId="77777777" w:rsidR="006E5BB7" w:rsidRPr="006E5BB7" w:rsidRDefault="006E5BB7" w:rsidP="006E5BB7">
            <w:pPr>
              <w:pStyle w:val="ListParagraph"/>
              <w:autoSpaceDE/>
              <w:autoSpaceDN/>
              <w:ind w:left="690"/>
              <w:rPr>
                <w:rFonts w:cs="Arial"/>
                <w:szCs w:val="22"/>
              </w:rPr>
            </w:pPr>
          </w:p>
          <w:p w14:paraId="2781B633" w14:textId="39D976C2" w:rsidR="00AF2FC0" w:rsidRDefault="00AF2FC0" w:rsidP="009F43E5">
            <w:pPr>
              <w:pStyle w:val="Heading1"/>
              <w:keepNext/>
              <w:numPr>
                <w:ilvl w:val="0"/>
                <w:numId w:val="30"/>
              </w:numPr>
              <w:pBdr>
                <w:top w:val="none" w:sz="0" w:space="0" w:color="auto"/>
              </w:pBdr>
              <w:tabs>
                <w:tab w:val="clear" w:pos="720"/>
              </w:tabs>
              <w:ind w:left="344"/>
              <w:contextualSpacing/>
              <w:jc w:val="left"/>
              <w:rPr>
                <w:b w:val="0"/>
                <w:bCs w:val="0"/>
              </w:rPr>
            </w:pPr>
            <w:r w:rsidRPr="00125E53">
              <w:t>Clinical and community-engagement to improve the adoption</w:t>
            </w:r>
            <w:r w:rsidR="006E5BB7">
              <w:t xml:space="preserve"> and implementation</w:t>
            </w:r>
            <w:r w:rsidRPr="00125E53">
              <w:t xml:space="preserve"> of evidence-based </w:t>
            </w:r>
            <w:r>
              <w:t xml:space="preserve">health promotion and disease </w:t>
            </w:r>
            <w:r w:rsidRPr="00125E53">
              <w:t xml:space="preserve">prevention interventions. </w:t>
            </w:r>
            <w:r w:rsidRPr="00125E53">
              <w:rPr>
                <w:b w:val="0"/>
                <w:bCs w:val="0"/>
              </w:rPr>
              <w:t xml:space="preserve">My research team has conducted several studies focused understanding strategies and mechanisms to improve the staff- and setting-level adoption (number, proportion, and representativeness of staff, settings, and organizations) of evidence-based interventions. We have developed successful strategies to increase organizational and staff adoption of evidence-based interventions. Key mechanisms of success appear to be a high level of participation from representatives from the potential adopting organizations at both the administrative and delivery staff levels. Our work has documented factors such as fit with organizational mission, resources, and delivery agent job descriptions and evaluations are more predictive of adoption than information on intervention effectiveness. However, effectiveness is typically a necessary, but insufficient factor for staff and organizational adoption of physical activity, nutrition, and weight control interventions. We have also found that adoption can be influenced by staff and organizational characteristics and perceptions, potential participant engagement (i.e., reach), the characteristics of the intervention (e.g., cost, complexity), the study design, and dissemination strategy. </w:t>
            </w:r>
          </w:p>
          <w:p w14:paraId="5B652D47" w14:textId="77777777" w:rsidR="009F43E5" w:rsidRPr="009F43E5" w:rsidRDefault="009F43E5" w:rsidP="009F43E5"/>
          <w:p w14:paraId="32171168" w14:textId="5386F0B5" w:rsidR="003B7288" w:rsidRDefault="007604AE" w:rsidP="009F43E5">
            <w:pPr>
              <w:pStyle w:val="Heading1"/>
              <w:keepNext/>
              <w:numPr>
                <w:ilvl w:val="0"/>
                <w:numId w:val="30"/>
              </w:numPr>
              <w:pBdr>
                <w:top w:val="none" w:sz="0" w:space="0" w:color="auto"/>
              </w:pBdr>
              <w:tabs>
                <w:tab w:val="clear" w:pos="720"/>
              </w:tabs>
              <w:ind w:left="344"/>
              <w:contextualSpacing/>
              <w:jc w:val="left"/>
              <w:rPr>
                <w:b w:val="0"/>
              </w:rPr>
            </w:pPr>
            <w:r w:rsidRPr="00125E53">
              <w:t xml:space="preserve">Developing integrated research-practice partnerships to allow for the mapping of strategies to evidence-based principles results in effective, practical, and sustainable interventions. </w:t>
            </w:r>
            <w:r w:rsidRPr="00125E53">
              <w:rPr>
                <w:b w:val="0"/>
              </w:rPr>
              <w:t xml:space="preserve">A key proposition underlying my work, and each of the contributions above, is that the integration of research and </w:t>
            </w:r>
            <w:r w:rsidR="00367111">
              <w:rPr>
                <w:b w:val="0"/>
              </w:rPr>
              <w:t xml:space="preserve">clinical </w:t>
            </w:r>
            <w:r w:rsidRPr="00125E53">
              <w:rPr>
                <w:b w:val="0"/>
              </w:rPr>
              <w:t>practice at the systems</w:t>
            </w:r>
            <w:r w:rsidR="00D21B21" w:rsidRPr="00125E53">
              <w:rPr>
                <w:b w:val="0"/>
              </w:rPr>
              <w:t>-</w:t>
            </w:r>
            <w:r w:rsidRPr="00125E53">
              <w:rPr>
                <w:b w:val="0"/>
              </w:rPr>
              <w:t xml:space="preserve">level results in interventions that benefit from traditional research evidence and more tacit practice-based evidence. Specifically, the goal of a research-practice partnership is to have a strong understanding of evidence-based interventions and system values, resources, and structure to develop a fit between the evidence-based program and sustained delivery within an organizational context. Using this model, the work of my team has demonstrated that mapping the adaptation of evidence-based interventions and </w:t>
            </w:r>
            <w:r w:rsidR="000414A7" w:rsidRPr="00125E53">
              <w:rPr>
                <w:b w:val="0"/>
              </w:rPr>
              <w:t>DI</w:t>
            </w:r>
            <w:r w:rsidR="00367111">
              <w:rPr>
                <w:b w:val="0"/>
              </w:rPr>
              <w:t>S</w:t>
            </w:r>
            <w:r w:rsidRPr="00125E53">
              <w:rPr>
                <w:b w:val="0"/>
              </w:rPr>
              <w:t xml:space="preserve"> strategies to underlying functioning principles of evidence-based interventions or proposed mechanisms of </w:t>
            </w:r>
            <w:r w:rsidR="000414A7" w:rsidRPr="00125E53">
              <w:rPr>
                <w:b w:val="0"/>
              </w:rPr>
              <w:t>D&amp;I</w:t>
            </w:r>
            <w:r w:rsidRPr="00125E53">
              <w:rPr>
                <w:b w:val="0"/>
              </w:rPr>
              <w:t xml:space="preserve"> leads to better individual (reach, effectiveness) and organizational outcomes (adoption, implementation, and maintenance). We have also found that interventions as well as </w:t>
            </w:r>
            <w:r w:rsidR="000414A7" w:rsidRPr="00125E53">
              <w:rPr>
                <w:b w:val="0"/>
              </w:rPr>
              <w:t>D&amp;I</w:t>
            </w:r>
            <w:r w:rsidRPr="00125E53">
              <w:rPr>
                <w:b w:val="0"/>
              </w:rPr>
              <w:t xml:space="preserve"> strategies developed using this approach have a higher probability of being sustained beyond the life of a research program. </w:t>
            </w:r>
          </w:p>
          <w:p w14:paraId="717BA485" w14:textId="77777777" w:rsidR="009F43E5" w:rsidRPr="009F43E5" w:rsidRDefault="009F43E5" w:rsidP="009F43E5"/>
          <w:p w14:paraId="7DC048D2" w14:textId="2F6385F7" w:rsidR="00125E53" w:rsidRDefault="00BB5305" w:rsidP="009F43E5">
            <w:pPr>
              <w:pStyle w:val="Heading1"/>
              <w:keepNext/>
              <w:numPr>
                <w:ilvl w:val="0"/>
                <w:numId w:val="30"/>
              </w:numPr>
              <w:pBdr>
                <w:top w:val="none" w:sz="0" w:space="0" w:color="auto"/>
              </w:pBdr>
              <w:tabs>
                <w:tab w:val="clear" w:pos="720"/>
              </w:tabs>
              <w:ind w:left="434"/>
              <w:contextualSpacing/>
              <w:jc w:val="left"/>
              <w:rPr>
                <w:b w:val="0"/>
              </w:rPr>
            </w:pPr>
            <w:r w:rsidRPr="00125E53">
              <w:rPr>
                <w:bCs w:val="0"/>
              </w:rPr>
              <w:t xml:space="preserve">Increasing community capacity to </w:t>
            </w:r>
            <w:r w:rsidR="00D21B21" w:rsidRPr="00125E53">
              <w:rPr>
                <w:bCs w:val="0"/>
              </w:rPr>
              <w:t xml:space="preserve">address </w:t>
            </w:r>
            <w:r w:rsidR="00863E37" w:rsidRPr="00125E53">
              <w:rPr>
                <w:bCs w:val="0"/>
              </w:rPr>
              <w:t>health</w:t>
            </w:r>
            <w:r w:rsidR="0089208E">
              <w:rPr>
                <w:bCs w:val="0"/>
              </w:rPr>
              <w:t xml:space="preserve"> promotion</w:t>
            </w:r>
            <w:r w:rsidR="00863E37" w:rsidRPr="00125E53">
              <w:rPr>
                <w:bCs w:val="0"/>
              </w:rPr>
              <w:t xml:space="preserve"> and prevention</w:t>
            </w:r>
            <w:r w:rsidRPr="00125E53">
              <w:rPr>
                <w:bCs w:val="0"/>
              </w:rPr>
              <w:t xml:space="preserve">. </w:t>
            </w:r>
            <w:r w:rsidR="00863E37" w:rsidRPr="00125E53">
              <w:rPr>
                <w:b w:val="0"/>
              </w:rPr>
              <w:t>Over the course of the past 10 years, our research team has focused on the development of community capacity to address health promotion, within and beyond, partnership with academic institutions and personnel.</w:t>
            </w:r>
            <w:r w:rsidR="005906A9" w:rsidRPr="00125E53">
              <w:rPr>
                <w:b w:val="0"/>
              </w:rPr>
              <w:t xml:space="preserve"> The articles highlighted below demonstrate the ability to increase community capacity for research, improve health communication and information uptake, and create community and clinically relevant approaches to health promotion. </w:t>
            </w:r>
          </w:p>
          <w:p w14:paraId="4D371F24" w14:textId="77777777" w:rsidR="009F43E5" w:rsidRPr="009F43E5" w:rsidRDefault="009F43E5" w:rsidP="009F43E5"/>
          <w:p w14:paraId="1A06452D" w14:textId="6B5BED87" w:rsidR="005F6EE3" w:rsidRPr="00125E53" w:rsidRDefault="005F6EE3" w:rsidP="00125E53">
            <w:pPr>
              <w:autoSpaceDE/>
              <w:autoSpaceDN/>
              <w:contextualSpacing/>
              <w:rPr>
                <w:rFonts w:cs="Arial"/>
                <w:szCs w:val="22"/>
              </w:rPr>
            </w:pPr>
          </w:p>
        </w:tc>
        <w:tc>
          <w:tcPr>
            <w:tcW w:w="0" w:type="auto"/>
            <w:tcBorders>
              <w:top w:val="nil"/>
              <w:left w:val="nil"/>
              <w:bottom w:val="nil"/>
              <w:right w:val="nil"/>
            </w:tcBorders>
            <w:vAlign w:val="center"/>
          </w:tcPr>
          <w:p w14:paraId="0773CE3C" w14:textId="77777777" w:rsidR="005F6EE3" w:rsidRPr="00125E53" w:rsidRDefault="005F6EE3" w:rsidP="00125E53">
            <w:pPr>
              <w:contextualSpacing/>
              <w:rPr>
                <w:rFonts w:cs="Arial"/>
                <w:szCs w:val="22"/>
              </w:rPr>
            </w:pPr>
          </w:p>
          <w:p w14:paraId="36834B9E" w14:textId="77777777" w:rsidR="000E2BD9" w:rsidRPr="00125E53" w:rsidRDefault="000E2BD9" w:rsidP="00125E53">
            <w:pPr>
              <w:contextualSpacing/>
              <w:rPr>
                <w:rFonts w:cs="Arial"/>
                <w:szCs w:val="22"/>
              </w:rPr>
            </w:pPr>
          </w:p>
          <w:p w14:paraId="7D989567" w14:textId="00BB8FAB" w:rsidR="000E2BD9" w:rsidRPr="00125E53" w:rsidRDefault="000E2BD9" w:rsidP="00125E53">
            <w:pPr>
              <w:contextualSpacing/>
              <w:rPr>
                <w:rFonts w:cs="Arial"/>
                <w:szCs w:val="22"/>
              </w:rPr>
            </w:pPr>
          </w:p>
        </w:tc>
        <w:tc>
          <w:tcPr>
            <w:tcW w:w="0" w:type="auto"/>
            <w:tcBorders>
              <w:top w:val="nil"/>
              <w:left w:val="nil"/>
              <w:bottom w:val="nil"/>
              <w:right w:val="nil"/>
            </w:tcBorders>
            <w:vAlign w:val="center"/>
          </w:tcPr>
          <w:p w14:paraId="61A88A40" w14:textId="624AF247" w:rsidR="005F6EE3" w:rsidRPr="00125E53" w:rsidRDefault="005F6EE3" w:rsidP="00125E53">
            <w:pPr>
              <w:contextualSpacing/>
              <w:rPr>
                <w:rFonts w:cs="Arial"/>
                <w:szCs w:val="22"/>
              </w:rPr>
            </w:pPr>
          </w:p>
        </w:tc>
      </w:tr>
    </w:tbl>
    <w:p w14:paraId="76EDF1D5" w14:textId="3FCF3C7E" w:rsidR="00CB1D25" w:rsidRPr="00125E53" w:rsidRDefault="00CB1D25" w:rsidP="00125E53">
      <w:pPr>
        <w:pStyle w:val="DataField11pt-Single"/>
        <w:contextualSpacing/>
        <w:rPr>
          <w:rStyle w:val="Strong"/>
          <w:b w:val="0"/>
          <w:szCs w:val="22"/>
        </w:rPr>
      </w:pPr>
    </w:p>
    <w:p w14:paraId="2FEAE7CD" w14:textId="0817AD25" w:rsidR="00BB5305" w:rsidRPr="00125E53" w:rsidRDefault="00BB5305" w:rsidP="00125E53">
      <w:pPr>
        <w:pStyle w:val="DataField11pt-Single"/>
        <w:contextualSpacing/>
        <w:rPr>
          <w:bCs/>
          <w:szCs w:val="22"/>
        </w:rPr>
      </w:pPr>
      <w:r w:rsidRPr="00125E53">
        <w:rPr>
          <w:bCs/>
          <w:szCs w:val="22"/>
        </w:rPr>
        <w:t xml:space="preserve"> </w:t>
      </w:r>
    </w:p>
    <w:p w14:paraId="2818212A" w14:textId="77777777" w:rsidR="00BB5305" w:rsidRPr="00125E53" w:rsidRDefault="00BB5305" w:rsidP="00125E53">
      <w:pPr>
        <w:pStyle w:val="DataField11pt-Single"/>
        <w:contextualSpacing/>
        <w:rPr>
          <w:rStyle w:val="Strong"/>
          <w:b w:val="0"/>
          <w:szCs w:val="22"/>
        </w:rPr>
      </w:pPr>
    </w:p>
    <w:sectPr w:rsidR="00BB5305" w:rsidRPr="00125E53" w:rsidSect="007316F0">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5356" w14:textId="77777777" w:rsidR="00F73D7F" w:rsidRDefault="00F73D7F">
      <w:r>
        <w:separator/>
      </w:r>
    </w:p>
  </w:endnote>
  <w:endnote w:type="continuationSeparator" w:id="0">
    <w:p w14:paraId="18BD968A" w14:textId="77777777" w:rsidR="00F73D7F" w:rsidRDefault="00F7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5B24" w14:textId="77777777" w:rsidR="00F73D7F" w:rsidRDefault="00F73D7F">
      <w:r>
        <w:separator/>
      </w:r>
    </w:p>
  </w:footnote>
  <w:footnote w:type="continuationSeparator" w:id="0">
    <w:p w14:paraId="1B072357" w14:textId="77777777" w:rsidR="00F73D7F" w:rsidRDefault="00F7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21CD7B9C"/>
    <w:multiLevelType w:val="hybridMultilevel"/>
    <w:tmpl w:val="6C463B6A"/>
    <w:lvl w:ilvl="0" w:tplc="30E06AE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836AE"/>
    <w:multiLevelType w:val="multilevel"/>
    <w:tmpl w:val="30D60298"/>
    <w:lvl w:ilvl="0">
      <w:start w:val="1"/>
      <w:numFmt w:val="lowerLetter"/>
      <w:lvlText w:val="%1."/>
      <w:lvlJc w:val="left"/>
      <w:pPr>
        <w:tabs>
          <w:tab w:val="num" w:pos="1440"/>
        </w:tabs>
        <w:ind w:left="1440" w:hanging="360"/>
      </w:pPr>
      <w:rPr>
        <w:rFonts w:ascii="Arial" w:eastAsia="Times New Roman" w:hAnsi="Arial" w:cs="Times New Roman"/>
        <w:sz w:val="22"/>
        <w:szCs w:val="22"/>
        <w:bdr w:val="nil"/>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C17E0"/>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43975"/>
    <w:multiLevelType w:val="multilevel"/>
    <w:tmpl w:val="1472AE40"/>
    <w:lvl w:ilvl="0">
      <w:start w:val="1"/>
      <w:numFmt w:val="decimal"/>
      <w:lvlText w:val="%1."/>
      <w:lvlJc w:val="left"/>
      <w:pPr>
        <w:tabs>
          <w:tab w:val="num" w:pos="720"/>
        </w:tabs>
        <w:ind w:left="720" w:hanging="360"/>
      </w:pPr>
      <w:rPr>
        <w:rFonts w:ascii="Arial" w:eastAsia="Arial" w:hAnsi="Arial" w:cs="Arial"/>
        <w:b w:val="0"/>
        <w:sz w:val="22"/>
        <w:szCs w:val="22"/>
        <w:bdr w:val="nil"/>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A692B"/>
    <w:multiLevelType w:val="multilevel"/>
    <w:tmpl w:val="30D60298"/>
    <w:lvl w:ilvl="0">
      <w:start w:val="1"/>
      <w:numFmt w:val="lowerLetter"/>
      <w:lvlText w:val="%1."/>
      <w:lvlJc w:val="left"/>
      <w:pPr>
        <w:tabs>
          <w:tab w:val="num" w:pos="1440"/>
        </w:tabs>
        <w:ind w:left="1440" w:hanging="360"/>
      </w:pPr>
      <w:rPr>
        <w:rFonts w:ascii="Arial" w:eastAsia="Times New Roman" w:hAnsi="Arial" w:cs="Times New Roman"/>
        <w:sz w:val="22"/>
        <w:szCs w:val="22"/>
        <w:bdr w:val="nil"/>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B110EF1"/>
    <w:multiLevelType w:val="hybridMultilevel"/>
    <w:tmpl w:val="321CB1C2"/>
    <w:lvl w:ilvl="0" w:tplc="ABAEA5C2">
      <w:start w:val="1"/>
      <w:numFmt w:val="decimal"/>
      <w:lvlText w:val="%1."/>
      <w:lvlJc w:val="left"/>
      <w:pPr>
        <w:tabs>
          <w:tab w:val="num" w:pos="360"/>
        </w:tabs>
        <w:ind w:left="360" w:hanging="360"/>
      </w:pPr>
      <w:rPr>
        <w:rFonts w:hint="default"/>
        <w:u w:val="none"/>
      </w:rPr>
    </w:lvl>
    <w:lvl w:ilvl="1" w:tplc="6E52C08C" w:tentative="1">
      <w:start w:val="1"/>
      <w:numFmt w:val="lowerLetter"/>
      <w:lvlText w:val="%2."/>
      <w:lvlJc w:val="left"/>
      <w:pPr>
        <w:tabs>
          <w:tab w:val="num" w:pos="1440"/>
        </w:tabs>
        <w:ind w:left="1440" w:hanging="360"/>
      </w:pPr>
    </w:lvl>
    <w:lvl w:ilvl="2" w:tplc="333E41F8" w:tentative="1">
      <w:start w:val="1"/>
      <w:numFmt w:val="lowerRoman"/>
      <w:lvlText w:val="%3."/>
      <w:lvlJc w:val="right"/>
      <w:pPr>
        <w:tabs>
          <w:tab w:val="num" w:pos="2160"/>
        </w:tabs>
        <w:ind w:left="2160" w:hanging="180"/>
      </w:pPr>
    </w:lvl>
    <w:lvl w:ilvl="3" w:tplc="3CF4B4EA">
      <w:start w:val="1"/>
      <w:numFmt w:val="decimal"/>
      <w:lvlText w:val="%4."/>
      <w:lvlJc w:val="left"/>
      <w:pPr>
        <w:tabs>
          <w:tab w:val="num" w:pos="2880"/>
        </w:tabs>
        <w:ind w:left="2880" w:hanging="360"/>
      </w:pPr>
    </w:lvl>
    <w:lvl w:ilvl="4" w:tplc="277C4794" w:tentative="1">
      <w:start w:val="1"/>
      <w:numFmt w:val="lowerLetter"/>
      <w:lvlText w:val="%5."/>
      <w:lvlJc w:val="left"/>
      <w:pPr>
        <w:tabs>
          <w:tab w:val="num" w:pos="3600"/>
        </w:tabs>
        <w:ind w:left="3600" w:hanging="360"/>
      </w:pPr>
    </w:lvl>
    <w:lvl w:ilvl="5" w:tplc="46B2793E" w:tentative="1">
      <w:start w:val="1"/>
      <w:numFmt w:val="lowerRoman"/>
      <w:lvlText w:val="%6."/>
      <w:lvlJc w:val="right"/>
      <w:pPr>
        <w:tabs>
          <w:tab w:val="num" w:pos="4320"/>
        </w:tabs>
        <w:ind w:left="4320" w:hanging="180"/>
      </w:pPr>
    </w:lvl>
    <w:lvl w:ilvl="6" w:tplc="9F2ABB00">
      <w:start w:val="1"/>
      <w:numFmt w:val="decimal"/>
      <w:lvlText w:val="%7."/>
      <w:lvlJc w:val="left"/>
      <w:pPr>
        <w:tabs>
          <w:tab w:val="num" w:pos="5040"/>
        </w:tabs>
        <w:ind w:left="5040" w:hanging="360"/>
      </w:pPr>
    </w:lvl>
    <w:lvl w:ilvl="7" w:tplc="A7A844AE" w:tentative="1">
      <w:start w:val="1"/>
      <w:numFmt w:val="lowerLetter"/>
      <w:lvlText w:val="%8."/>
      <w:lvlJc w:val="left"/>
      <w:pPr>
        <w:tabs>
          <w:tab w:val="num" w:pos="5760"/>
        </w:tabs>
        <w:ind w:left="5760" w:hanging="360"/>
      </w:pPr>
    </w:lvl>
    <w:lvl w:ilvl="8" w:tplc="4296F008" w:tentative="1">
      <w:start w:val="1"/>
      <w:numFmt w:val="lowerRoman"/>
      <w:lvlText w:val="%9."/>
      <w:lvlJc w:val="right"/>
      <w:pPr>
        <w:tabs>
          <w:tab w:val="num" w:pos="6480"/>
        </w:tabs>
        <w:ind w:left="6480" w:hanging="180"/>
      </w:pPr>
    </w:lvl>
  </w:abstractNum>
  <w:abstractNum w:abstractNumId="29" w15:restartNumberingAfterBreak="0">
    <w:nsid w:val="7C040314"/>
    <w:multiLevelType w:val="hybridMultilevel"/>
    <w:tmpl w:val="5224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097589">
    <w:abstractNumId w:val="9"/>
  </w:num>
  <w:num w:numId="2" w16cid:durableId="361250520">
    <w:abstractNumId w:val="7"/>
  </w:num>
  <w:num w:numId="3" w16cid:durableId="1732192697">
    <w:abstractNumId w:val="6"/>
  </w:num>
  <w:num w:numId="4" w16cid:durableId="1430855064">
    <w:abstractNumId w:val="5"/>
  </w:num>
  <w:num w:numId="5" w16cid:durableId="1533110484">
    <w:abstractNumId w:val="4"/>
  </w:num>
  <w:num w:numId="6" w16cid:durableId="1212812465">
    <w:abstractNumId w:val="8"/>
  </w:num>
  <w:num w:numId="7" w16cid:durableId="1186410354">
    <w:abstractNumId w:val="3"/>
  </w:num>
  <w:num w:numId="8" w16cid:durableId="2007977736">
    <w:abstractNumId w:val="2"/>
  </w:num>
  <w:num w:numId="9" w16cid:durableId="1192261952">
    <w:abstractNumId w:val="1"/>
  </w:num>
  <w:num w:numId="10" w16cid:durableId="157233238">
    <w:abstractNumId w:val="0"/>
  </w:num>
  <w:num w:numId="11" w16cid:durableId="1749301691">
    <w:abstractNumId w:val="0"/>
  </w:num>
  <w:num w:numId="12" w16cid:durableId="843210293">
    <w:abstractNumId w:val="21"/>
  </w:num>
  <w:num w:numId="13" w16cid:durableId="611713428">
    <w:abstractNumId w:val="13"/>
  </w:num>
  <w:num w:numId="14" w16cid:durableId="619604463">
    <w:abstractNumId w:val="27"/>
  </w:num>
  <w:num w:numId="15" w16cid:durableId="695274180">
    <w:abstractNumId w:val="24"/>
  </w:num>
  <w:num w:numId="16" w16cid:durableId="1885866929">
    <w:abstractNumId w:val="26"/>
  </w:num>
  <w:num w:numId="17" w16cid:durableId="38941726">
    <w:abstractNumId w:val="11"/>
  </w:num>
  <w:num w:numId="18" w16cid:durableId="1954557296">
    <w:abstractNumId w:val="18"/>
  </w:num>
  <w:num w:numId="19" w16cid:durableId="1964075256">
    <w:abstractNumId w:val="15"/>
  </w:num>
  <w:num w:numId="20" w16cid:durableId="1875144463">
    <w:abstractNumId w:val="19"/>
  </w:num>
  <w:num w:numId="21" w16cid:durableId="1320496797">
    <w:abstractNumId w:val="22"/>
  </w:num>
  <w:num w:numId="22" w16cid:durableId="88892961">
    <w:abstractNumId w:val="12"/>
  </w:num>
  <w:num w:numId="23" w16cid:durableId="1719282487">
    <w:abstractNumId w:val="30"/>
  </w:num>
  <w:num w:numId="24" w16cid:durableId="1586258589">
    <w:abstractNumId w:val="17"/>
  </w:num>
  <w:num w:numId="25" w16cid:durableId="2071999181">
    <w:abstractNumId w:val="10"/>
  </w:num>
  <w:num w:numId="26" w16cid:durableId="834806250">
    <w:abstractNumId w:val="14"/>
  </w:num>
  <w:num w:numId="27" w16cid:durableId="1287350679">
    <w:abstractNumId w:val="20"/>
  </w:num>
  <w:num w:numId="28" w16cid:durableId="651911126">
    <w:abstractNumId w:val="16"/>
  </w:num>
  <w:num w:numId="29" w16cid:durableId="915285280">
    <w:abstractNumId w:val="28"/>
  </w:num>
  <w:num w:numId="30" w16cid:durableId="2051875155">
    <w:abstractNumId w:val="23"/>
  </w:num>
  <w:num w:numId="31" w16cid:durableId="1870491373">
    <w:abstractNumId w:val="29"/>
  </w:num>
  <w:num w:numId="32" w16cid:durableId="4895623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14A7"/>
    <w:rsid w:val="00042632"/>
    <w:rsid w:val="00046139"/>
    <w:rsid w:val="00064A52"/>
    <w:rsid w:val="00067621"/>
    <w:rsid w:val="00082B8B"/>
    <w:rsid w:val="00084466"/>
    <w:rsid w:val="000D2D92"/>
    <w:rsid w:val="000E2BD9"/>
    <w:rsid w:val="000E3773"/>
    <w:rsid w:val="000E3BEC"/>
    <w:rsid w:val="000F412A"/>
    <w:rsid w:val="00122EB3"/>
    <w:rsid w:val="00125E53"/>
    <w:rsid w:val="00132CA6"/>
    <w:rsid w:val="0014571A"/>
    <w:rsid w:val="00170D87"/>
    <w:rsid w:val="00177D49"/>
    <w:rsid w:val="00183425"/>
    <w:rsid w:val="001C065C"/>
    <w:rsid w:val="001E5FC5"/>
    <w:rsid w:val="001F216D"/>
    <w:rsid w:val="002045D7"/>
    <w:rsid w:val="00240528"/>
    <w:rsid w:val="002506F6"/>
    <w:rsid w:val="0028051C"/>
    <w:rsid w:val="00281349"/>
    <w:rsid w:val="00284045"/>
    <w:rsid w:val="0028426B"/>
    <w:rsid w:val="002959ED"/>
    <w:rsid w:val="002A0E71"/>
    <w:rsid w:val="002A70D9"/>
    <w:rsid w:val="002B7443"/>
    <w:rsid w:val="002C3F3B"/>
    <w:rsid w:val="002C4808"/>
    <w:rsid w:val="002C5FBE"/>
    <w:rsid w:val="002D7520"/>
    <w:rsid w:val="002E2CA2"/>
    <w:rsid w:val="002E5125"/>
    <w:rsid w:val="00306799"/>
    <w:rsid w:val="00321A19"/>
    <w:rsid w:val="003316EC"/>
    <w:rsid w:val="00342D72"/>
    <w:rsid w:val="0035045F"/>
    <w:rsid w:val="00367111"/>
    <w:rsid w:val="0037667F"/>
    <w:rsid w:val="00376B1B"/>
    <w:rsid w:val="00382AB6"/>
    <w:rsid w:val="00383712"/>
    <w:rsid w:val="003B7288"/>
    <w:rsid w:val="003C2647"/>
    <w:rsid w:val="003C62D6"/>
    <w:rsid w:val="003D2399"/>
    <w:rsid w:val="003E4A92"/>
    <w:rsid w:val="003F6A45"/>
    <w:rsid w:val="0040289D"/>
    <w:rsid w:val="00421A4D"/>
    <w:rsid w:val="00422599"/>
    <w:rsid w:val="00432346"/>
    <w:rsid w:val="00440DC1"/>
    <w:rsid w:val="004477BE"/>
    <w:rsid w:val="00447F3A"/>
    <w:rsid w:val="00454FF9"/>
    <w:rsid w:val="0046408F"/>
    <w:rsid w:val="00472682"/>
    <w:rsid w:val="004759D9"/>
    <w:rsid w:val="00486658"/>
    <w:rsid w:val="0049068A"/>
    <w:rsid w:val="00493D23"/>
    <w:rsid w:val="004A3FC8"/>
    <w:rsid w:val="004E376F"/>
    <w:rsid w:val="004F36FA"/>
    <w:rsid w:val="00501DB0"/>
    <w:rsid w:val="00503B57"/>
    <w:rsid w:val="005145BB"/>
    <w:rsid w:val="00517BFD"/>
    <w:rsid w:val="005268B6"/>
    <w:rsid w:val="0054471F"/>
    <w:rsid w:val="0054477A"/>
    <w:rsid w:val="005461F3"/>
    <w:rsid w:val="00547118"/>
    <w:rsid w:val="00547AC9"/>
    <w:rsid w:val="00553D95"/>
    <w:rsid w:val="005763DF"/>
    <w:rsid w:val="005906A9"/>
    <w:rsid w:val="00592740"/>
    <w:rsid w:val="00594447"/>
    <w:rsid w:val="0059553C"/>
    <w:rsid w:val="005A03CC"/>
    <w:rsid w:val="005A7F6F"/>
    <w:rsid w:val="005C2BDD"/>
    <w:rsid w:val="005C2CF8"/>
    <w:rsid w:val="005C47A8"/>
    <w:rsid w:val="005E193A"/>
    <w:rsid w:val="005E406E"/>
    <w:rsid w:val="005F5F51"/>
    <w:rsid w:val="005F6EE3"/>
    <w:rsid w:val="00601C69"/>
    <w:rsid w:val="006109AB"/>
    <w:rsid w:val="00616BCC"/>
    <w:rsid w:val="00624261"/>
    <w:rsid w:val="00625907"/>
    <w:rsid w:val="00626CAC"/>
    <w:rsid w:val="00642A95"/>
    <w:rsid w:val="00643A22"/>
    <w:rsid w:val="00646AF9"/>
    <w:rsid w:val="00656AB8"/>
    <w:rsid w:val="006609B6"/>
    <w:rsid w:val="006816FA"/>
    <w:rsid w:val="0068699D"/>
    <w:rsid w:val="006A353C"/>
    <w:rsid w:val="006A56FC"/>
    <w:rsid w:val="006B2D1C"/>
    <w:rsid w:val="006B513A"/>
    <w:rsid w:val="006B5EAA"/>
    <w:rsid w:val="006C1E1F"/>
    <w:rsid w:val="006C208E"/>
    <w:rsid w:val="006C2A85"/>
    <w:rsid w:val="006C789B"/>
    <w:rsid w:val="006D789F"/>
    <w:rsid w:val="006E57CC"/>
    <w:rsid w:val="006E5BB7"/>
    <w:rsid w:val="006E6FB5"/>
    <w:rsid w:val="006F24AE"/>
    <w:rsid w:val="007050F5"/>
    <w:rsid w:val="0071140F"/>
    <w:rsid w:val="007228EF"/>
    <w:rsid w:val="00722C8F"/>
    <w:rsid w:val="00724A6A"/>
    <w:rsid w:val="007316F0"/>
    <w:rsid w:val="00737CA5"/>
    <w:rsid w:val="007470D9"/>
    <w:rsid w:val="00751471"/>
    <w:rsid w:val="007604AE"/>
    <w:rsid w:val="00763DE9"/>
    <w:rsid w:val="00781234"/>
    <w:rsid w:val="00791A4A"/>
    <w:rsid w:val="007B0C85"/>
    <w:rsid w:val="007B7056"/>
    <w:rsid w:val="007B7AF3"/>
    <w:rsid w:val="007C79A1"/>
    <w:rsid w:val="007E0ADC"/>
    <w:rsid w:val="007F44A3"/>
    <w:rsid w:val="008073EB"/>
    <w:rsid w:val="00843027"/>
    <w:rsid w:val="0084345D"/>
    <w:rsid w:val="008436EB"/>
    <w:rsid w:val="00863E37"/>
    <w:rsid w:val="00870030"/>
    <w:rsid w:val="00873917"/>
    <w:rsid w:val="00874EBC"/>
    <w:rsid w:val="00890CA9"/>
    <w:rsid w:val="0089208E"/>
    <w:rsid w:val="008A30C8"/>
    <w:rsid w:val="008A3ECC"/>
    <w:rsid w:val="008A5956"/>
    <w:rsid w:val="008C5C90"/>
    <w:rsid w:val="008D3D79"/>
    <w:rsid w:val="008E0A66"/>
    <w:rsid w:val="009211D3"/>
    <w:rsid w:val="00933173"/>
    <w:rsid w:val="00934124"/>
    <w:rsid w:val="00944FB7"/>
    <w:rsid w:val="00952A27"/>
    <w:rsid w:val="00977FA5"/>
    <w:rsid w:val="009D34A1"/>
    <w:rsid w:val="009D7E97"/>
    <w:rsid w:val="009E10F9"/>
    <w:rsid w:val="009E52CA"/>
    <w:rsid w:val="009F43E5"/>
    <w:rsid w:val="009F72E5"/>
    <w:rsid w:val="00A021D2"/>
    <w:rsid w:val="00A03FFA"/>
    <w:rsid w:val="00A04942"/>
    <w:rsid w:val="00A04B52"/>
    <w:rsid w:val="00A1469B"/>
    <w:rsid w:val="00A14EF5"/>
    <w:rsid w:val="00A26D0F"/>
    <w:rsid w:val="00A42D9B"/>
    <w:rsid w:val="00A55D1D"/>
    <w:rsid w:val="00A63D7C"/>
    <w:rsid w:val="00A72BF9"/>
    <w:rsid w:val="00A733D6"/>
    <w:rsid w:val="00A7514C"/>
    <w:rsid w:val="00A77DE9"/>
    <w:rsid w:val="00A8122C"/>
    <w:rsid w:val="00A83312"/>
    <w:rsid w:val="00AA0024"/>
    <w:rsid w:val="00AC534B"/>
    <w:rsid w:val="00AE41C4"/>
    <w:rsid w:val="00AF2FC0"/>
    <w:rsid w:val="00B037FB"/>
    <w:rsid w:val="00B648B5"/>
    <w:rsid w:val="00BB5305"/>
    <w:rsid w:val="00BB7847"/>
    <w:rsid w:val="00BC3BDF"/>
    <w:rsid w:val="00BD4703"/>
    <w:rsid w:val="00BE1F12"/>
    <w:rsid w:val="00BF41DB"/>
    <w:rsid w:val="00BF67B9"/>
    <w:rsid w:val="00C004CB"/>
    <w:rsid w:val="00C05C55"/>
    <w:rsid w:val="00C076C6"/>
    <w:rsid w:val="00C1247F"/>
    <w:rsid w:val="00C137DA"/>
    <w:rsid w:val="00C20F69"/>
    <w:rsid w:val="00C26756"/>
    <w:rsid w:val="00C3113F"/>
    <w:rsid w:val="00C36803"/>
    <w:rsid w:val="00C37563"/>
    <w:rsid w:val="00C4536F"/>
    <w:rsid w:val="00C46ADA"/>
    <w:rsid w:val="00C5578E"/>
    <w:rsid w:val="00C8438D"/>
    <w:rsid w:val="00C85025"/>
    <w:rsid w:val="00C918BD"/>
    <w:rsid w:val="00C94E59"/>
    <w:rsid w:val="00CA0B7D"/>
    <w:rsid w:val="00CA680A"/>
    <w:rsid w:val="00CB1D25"/>
    <w:rsid w:val="00CD286C"/>
    <w:rsid w:val="00CE0951"/>
    <w:rsid w:val="00CF58D5"/>
    <w:rsid w:val="00CF68A2"/>
    <w:rsid w:val="00D16D60"/>
    <w:rsid w:val="00D21B21"/>
    <w:rsid w:val="00D279AF"/>
    <w:rsid w:val="00D3779E"/>
    <w:rsid w:val="00D57D1D"/>
    <w:rsid w:val="00D679E5"/>
    <w:rsid w:val="00D74391"/>
    <w:rsid w:val="00D83360"/>
    <w:rsid w:val="00D90161"/>
    <w:rsid w:val="00DB7B85"/>
    <w:rsid w:val="00DD31B4"/>
    <w:rsid w:val="00DF4F79"/>
    <w:rsid w:val="00DF5512"/>
    <w:rsid w:val="00DF7645"/>
    <w:rsid w:val="00E047AD"/>
    <w:rsid w:val="00E06256"/>
    <w:rsid w:val="00E06CFB"/>
    <w:rsid w:val="00E12287"/>
    <w:rsid w:val="00E127A1"/>
    <w:rsid w:val="00E20621"/>
    <w:rsid w:val="00E20E6D"/>
    <w:rsid w:val="00E355C2"/>
    <w:rsid w:val="00E37B0F"/>
    <w:rsid w:val="00E53B95"/>
    <w:rsid w:val="00E67A05"/>
    <w:rsid w:val="00E74AB7"/>
    <w:rsid w:val="00E81FE1"/>
    <w:rsid w:val="00E90203"/>
    <w:rsid w:val="00E9354D"/>
    <w:rsid w:val="00EA0405"/>
    <w:rsid w:val="00EA1BF4"/>
    <w:rsid w:val="00EC13C3"/>
    <w:rsid w:val="00ED35D7"/>
    <w:rsid w:val="00ED5DF5"/>
    <w:rsid w:val="00EE03E4"/>
    <w:rsid w:val="00EF4C32"/>
    <w:rsid w:val="00EF69CD"/>
    <w:rsid w:val="00EF7F24"/>
    <w:rsid w:val="00F02126"/>
    <w:rsid w:val="00F07AB3"/>
    <w:rsid w:val="00F10743"/>
    <w:rsid w:val="00F262AB"/>
    <w:rsid w:val="00F7284D"/>
    <w:rsid w:val="00F73D7F"/>
    <w:rsid w:val="00F9147B"/>
    <w:rsid w:val="00F94A2B"/>
    <w:rsid w:val="00FA00C6"/>
    <w:rsid w:val="00FA556C"/>
    <w:rsid w:val="00FB55C5"/>
    <w:rsid w:val="00FC5F9E"/>
    <w:rsid w:val="00FC7A08"/>
    <w:rsid w:val="00FE130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customStyle="1" w:styleId="citationUlliParagraph">
    <w:name w:val="citationUl_li Paragraph"/>
    <w:basedOn w:val="Normal"/>
    <w:rsid w:val="005906A9"/>
    <w:pPr>
      <w:autoSpaceDE/>
      <w:autoSpaceDN/>
      <w:spacing w:after="75"/>
    </w:pPr>
    <w:rPr>
      <w:rFonts w:eastAsia="Arial" w:cs="Arial"/>
      <w:szCs w:val="22"/>
      <w:bdr w:val="nil"/>
    </w:rPr>
  </w:style>
  <w:style w:type="character" w:customStyle="1" w:styleId="apple-converted-space">
    <w:name w:val="apple-converted-space"/>
    <w:rsid w:val="005906A9"/>
  </w:style>
  <w:style w:type="character" w:customStyle="1" w:styleId="citation-doi">
    <w:name w:val="citation-doi"/>
    <w:basedOn w:val="DefaultParagraphFont"/>
    <w:rsid w:val="005906A9"/>
  </w:style>
  <w:style w:type="character" w:customStyle="1" w:styleId="identifier">
    <w:name w:val="identifier"/>
    <w:basedOn w:val="DefaultParagraphFont"/>
    <w:rsid w:val="005906A9"/>
  </w:style>
  <w:style w:type="character" w:customStyle="1" w:styleId="id-label">
    <w:name w:val="id-label"/>
    <w:basedOn w:val="DefaultParagraphFont"/>
    <w:rsid w:val="005906A9"/>
  </w:style>
  <w:style w:type="character" w:customStyle="1" w:styleId="cit-doi">
    <w:name w:val="cit-doi"/>
    <w:rsid w:val="00751471"/>
  </w:style>
  <w:style w:type="character" w:customStyle="1" w:styleId="cit-sep">
    <w:name w:val="cit-sep"/>
    <w:rsid w:val="00421A4D"/>
  </w:style>
  <w:style w:type="character" w:customStyle="1" w:styleId="pseudotab">
    <w:name w:val="pseudotab"/>
    <w:rsid w:val="006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645">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966156521">
      <w:bodyDiv w:val="1"/>
      <w:marLeft w:val="0"/>
      <w:marRight w:val="0"/>
      <w:marTop w:val="0"/>
      <w:marBottom w:val="0"/>
      <w:divBdr>
        <w:top w:val="none" w:sz="0" w:space="0" w:color="auto"/>
        <w:left w:val="none" w:sz="0" w:space="0" w:color="auto"/>
        <w:bottom w:val="none" w:sz="0" w:space="0" w:color="auto"/>
        <w:right w:val="none" w:sz="0" w:space="0" w:color="auto"/>
      </w:divBdr>
    </w:div>
    <w:div w:id="1227642787">
      <w:bodyDiv w:val="1"/>
      <w:marLeft w:val="0"/>
      <w:marRight w:val="0"/>
      <w:marTop w:val="0"/>
      <w:marBottom w:val="0"/>
      <w:divBdr>
        <w:top w:val="none" w:sz="0" w:space="0" w:color="auto"/>
        <w:left w:val="none" w:sz="0" w:space="0" w:color="auto"/>
        <w:bottom w:val="none" w:sz="0" w:space="0" w:color="auto"/>
        <w:right w:val="none" w:sz="0" w:space="0" w:color="auto"/>
      </w:divBdr>
    </w:div>
    <w:div w:id="1814566002">
      <w:bodyDiv w:val="1"/>
      <w:marLeft w:val="0"/>
      <w:marRight w:val="0"/>
      <w:marTop w:val="0"/>
      <w:marBottom w:val="0"/>
      <w:divBdr>
        <w:top w:val="none" w:sz="0" w:space="0" w:color="auto"/>
        <w:left w:val="none" w:sz="0" w:space="0" w:color="auto"/>
        <w:bottom w:val="none" w:sz="0" w:space="0" w:color="auto"/>
        <w:right w:val="none" w:sz="0" w:space="0" w:color="auto"/>
      </w:divBdr>
    </w:div>
    <w:div w:id="1848401136">
      <w:bodyDiv w:val="1"/>
      <w:marLeft w:val="0"/>
      <w:marRight w:val="0"/>
      <w:marTop w:val="0"/>
      <w:marBottom w:val="0"/>
      <w:divBdr>
        <w:top w:val="none" w:sz="0" w:space="0" w:color="auto"/>
        <w:left w:val="none" w:sz="0" w:space="0" w:color="auto"/>
        <w:bottom w:val="none" w:sz="0" w:space="0" w:color="auto"/>
        <w:right w:val="none" w:sz="0" w:space="0" w:color="auto"/>
      </w:divBdr>
    </w:div>
    <w:div w:id="1919710905">
      <w:bodyDiv w:val="1"/>
      <w:marLeft w:val="0"/>
      <w:marRight w:val="0"/>
      <w:marTop w:val="0"/>
      <w:marBottom w:val="0"/>
      <w:divBdr>
        <w:top w:val="none" w:sz="0" w:space="0" w:color="auto"/>
        <w:left w:val="none" w:sz="0" w:space="0" w:color="auto"/>
        <w:bottom w:val="none" w:sz="0" w:space="0" w:color="auto"/>
        <w:right w:val="none" w:sz="0" w:space="0" w:color="auto"/>
      </w:divBdr>
    </w:div>
    <w:div w:id="19290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2BD6AA-72D8-40AE-AD99-BDB53F5E2106}">
  <ds:schemaRefs>
    <ds:schemaRef ds:uri="http://schemas.openxmlformats.org/officeDocument/2006/bibliography"/>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4141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Paul Estabrooks</cp:lastModifiedBy>
  <cp:revision>3</cp:revision>
  <cp:lastPrinted>2011-03-11T19:43:00Z</cp:lastPrinted>
  <dcterms:created xsi:type="dcterms:W3CDTF">2024-12-01T20:17:00Z</dcterms:created>
  <dcterms:modified xsi:type="dcterms:W3CDTF">2024-12-01T20:20:00Z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