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F2329" w14:textId="77777777" w:rsidR="009D7DCE" w:rsidRDefault="009D7DCE" w:rsidP="0053008E">
      <w:pPr>
        <w:pStyle w:val="OMBInfo"/>
        <w:spacing w:after="0"/>
      </w:pPr>
      <w:r>
        <w:t xml:space="preserve">OMB No. 0925-0001 and 0925-0002 (Rev. </w:t>
      </w:r>
      <w:r w:rsidRPr="00DD6FEA">
        <w:t xml:space="preserve">03/2020 </w:t>
      </w:r>
      <w:r>
        <w:t>Approved Through 02-28-2023)</w:t>
      </w:r>
    </w:p>
    <w:p w14:paraId="48D07FF5" w14:textId="77777777" w:rsidR="002B7443" w:rsidRPr="006E6FB5" w:rsidRDefault="002B7443" w:rsidP="00303F2F">
      <w:pPr>
        <w:pStyle w:val="Title"/>
        <w:spacing w:before="0"/>
      </w:pPr>
      <w:r w:rsidRPr="006E6FB5">
        <w:t>BIOGRAPHICAL SKETCH</w:t>
      </w:r>
    </w:p>
    <w:p w14:paraId="01C9B6C5" w14:textId="7EDF005C" w:rsidR="002B7443" w:rsidRPr="00F7284D" w:rsidRDefault="002B7443" w:rsidP="00303F2F">
      <w:pPr>
        <w:pStyle w:val="HeadingNote"/>
        <w:spacing w:before="0" w:after="0"/>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3C014E2A" w:rsidR="002B7443" w:rsidRPr="00D3779E" w:rsidRDefault="002B7443" w:rsidP="00303F2F">
      <w:pPr>
        <w:pStyle w:val="FormFieldCaption1"/>
        <w:pBdr>
          <w:between w:val="single" w:sz="4" w:space="1" w:color="auto"/>
        </w:pBdr>
        <w:spacing w:after="0"/>
        <w:rPr>
          <w:sz w:val="32"/>
        </w:rPr>
      </w:pPr>
      <w:r w:rsidRPr="00D3779E">
        <w:rPr>
          <w:sz w:val="22"/>
        </w:rPr>
        <w:t>NAME:</w:t>
      </w:r>
      <w:r w:rsidR="00E03323">
        <w:rPr>
          <w:sz w:val="22"/>
        </w:rPr>
        <w:t xml:space="preserve"> </w:t>
      </w:r>
      <w:r w:rsidR="009D7DCE">
        <w:rPr>
          <w:b/>
          <w:sz w:val="22"/>
        </w:rPr>
        <w:t>Playdon, Mary C</w:t>
      </w:r>
    </w:p>
    <w:p w14:paraId="7FFF41C1" w14:textId="19207F38" w:rsidR="002B7443" w:rsidRPr="00D3779E" w:rsidRDefault="00E047AD" w:rsidP="002B7443">
      <w:pPr>
        <w:pStyle w:val="FormFieldCaption1"/>
        <w:pBdr>
          <w:between w:val="single" w:sz="4" w:space="1" w:color="auto"/>
        </w:pBdr>
        <w:rPr>
          <w:sz w:val="32"/>
        </w:rPr>
      </w:pPr>
      <w:r w:rsidRPr="00D3779E">
        <w:rPr>
          <w:sz w:val="22"/>
        </w:rPr>
        <w:t>eRA COMMONS USER NAME</w:t>
      </w:r>
      <w:r w:rsidR="002B7443" w:rsidRPr="00D3779E">
        <w:rPr>
          <w:sz w:val="22"/>
        </w:rPr>
        <w:t>:</w:t>
      </w:r>
      <w:r w:rsidR="00E03323">
        <w:rPr>
          <w:sz w:val="22"/>
        </w:rPr>
        <w:t xml:space="preserve"> </w:t>
      </w:r>
      <w:r w:rsidR="00D013F8">
        <w:rPr>
          <w:sz w:val="22"/>
        </w:rPr>
        <w:t>MARYPLAYDON</w:t>
      </w:r>
    </w:p>
    <w:p w14:paraId="74873D9A" w14:textId="0EBD58A5" w:rsidR="002B7443" w:rsidRPr="00D3779E" w:rsidRDefault="00E047AD" w:rsidP="00D013F8">
      <w:pPr>
        <w:pStyle w:val="FormFieldCaption1"/>
        <w:pBdr>
          <w:between w:val="single" w:sz="4" w:space="1" w:color="auto"/>
        </w:pBdr>
        <w:spacing w:after="0"/>
        <w:rPr>
          <w:sz w:val="32"/>
        </w:rPr>
      </w:pPr>
      <w:r w:rsidRPr="00D3779E">
        <w:rPr>
          <w:sz w:val="22"/>
        </w:rPr>
        <w:t>POSITION TITLE</w:t>
      </w:r>
      <w:r w:rsidR="002B7443" w:rsidRPr="00D3779E">
        <w:rPr>
          <w:sz w:val="22"/>
        </w:rPr>
        <w:t>:</w:t>
      </w:r>
      <w:r w:rsidR="00D013F8" w:rsidRPr="00D013F8">
        <w:rPr>
          <w:sz w:val="22"/>
        </w:rPr>
        <w:t xml:space="preserve"> </w:t>
      </w:r>
      <w:r w:rsidR="00D013F8">
        <w:rPr>
          <w:sz w:val="22"/>
        </w:rPr>
        <w:t>Assistant Professo</w:t>
      </w:r>
      <w:r w:rsidR="009D7DCE">
        <w:rPr>
          <w:sz w:val="22"/>
        </w:rPr>
        <w:t>r</w:t>
      </w:r>
    </w:p>
    <w:p w14:paraId="035344DF" w14:textId="34D34734" w:rsidR="002B7443" w:rsidRPr="00D3779E" w:rsidRDefault="002B7443" w:rsidP="00303F2F">
      <w:pPr>
        <w:pStyle w:val="FormFieldCaption1"/>
        <w:pBdr>
          <w:between w:val="single" w:sz="4" w:space="1" w:color="auto"/>
        </w:pBdr>
        <w:spacing w:after="0"/>
        <w:rPr>
          <w:sz w:val="22"/>
        </w:rPr>
      </w:pPr>
      <w:r w:rsidRPr="00D3779E">
        <w:rPr>
          <w:sz w:val="22"/>
        </w:rPr>
        <w:t>EDUCATION/TRAINING</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860"/>
        <w:gridCol w:w="1260"/>
        <w:gridCol w:w="1890"/>
        <w:gridCol w:w="2826"/>
      </w:tblGrid>
      <w:tr w:rsidR="00933173" w:rsidRPr="00D3779E" w14:paraId="21BBC1F3" w14:textId="77777777" w:rsidTr="00AB7299">
        <w:trPr>
          <w:cantSplit/>
          <w:tblHeader/>
        </w:trPr>
        <w:tc>
          <w:tcPr>
            <w:tcW w:w="4860" w:type="dxa"/>
            <w:tcBorders>
              <w:top w:val="single" w:sz="4" w:space="0" w:color="auto"/>
              <w:bottom w:val="single" w:sz="4" w:space="0" w:color="auto"/>
            </w:tcBorders>
            <w:vAlign w:val="center"/>
          </w:tcPr>
          <w:p w14:paraId="5DCFDE41" w14:textId="77777777" w:rsidR="00933173" w:rsidRPr="00D3779E" w:rsidRDefault="00933173" w:rsidP="00D013F8">
            <w:pPr>
              <w:pStyle w:val="FormFieldCaption"/>
              <w:jc w:val="center"/>
              <w:rPr>
                <w:sz w:val="22"/>
              </w:rPr>
            </w:pPr>
            <w:r w:rsidRPr="00D3779E">
              <w:rPr>
                <w:sz w:val="22"/>
              </w:rPr>
              <w:t>INSTITUTION AND LOCATION</w:t>
            </w:r>
          </w:p>
        </w:tc>
        <w:tc>
          <w:tcPr>
            <w:tcW w:w="1260" w:type="dxa"/>
            <w:tcBorders>
              <w:top w:val="single" w:sz="4" w:space="0" w:color="auto"/>
              <w:bottom w:val="single" w:sz="4" w:space="0" w:color="auto"/>
            </w:tcBorders>
            <w:vAlign w:val="center"/>
          </w:tcPr>
          <w:p w14:paraId="32A0C014" w14:textId="698E2267" w:rsidR="00933173" w:rsidRPr="00D3779E" w:rsidRDefault="00933173" w:rsidP="00303F2F">
            <w:pPr>
              <w:pStyle w:val="FormFieldCaption"/>
              <w:jc w:val="center"/>
              <w:rPr>
                <w:sz w:val="22"/>
              </w:rPr>
            </w:pPr>
            <w:r w:rsidRPr="00D3779E">
              <w:rPr>
                <w:sz w:val="22"/>
              </w:rPr>
              <w:t>DEGREE</w:t>
            </w:r>
          </w:p>
        </w:tc>
        <w:tc>
          <w:tcPr>
            <w:tcW w:w="1890" w:type="dxa"/>
            <w:tcBorders>
              <w:top w:val="single" w:sz="4" w:space="0" w:color="auto"/>
              <w:bottom w:val="single" w:sz="4" w:space="0" w:color="auto"/>
            </w:tcBorders>
            <w:vAlign w:val="center"/>
          </w:tcPr>
          <w:p w14:paraId="143620A6" w14:textId="1D75243B" w:rsidR="00933173" w:rsidRPr="00D3779E" w:rsidRDefault="0053008E" w:rsidP="00303F2F">
            <w:pPr>
              <w:pStyle w:val="FormFieldCaption"/>
              <w:jc w:val="center"/>
              <w:rPr>
                <w:sz w:val="22"/>
              </w:rPr>
            </w:pPr>
            <w:r>
              <w:rPr>
                <w:sz w:val="22"/>
              </w:rPr>
              <w:t>COMPLETION DATE</w:t>
            </w:r>
          </w:p>
        </w:tc>
        <w:tc>
          <w:tcPr>
            <w:tcW w:w="2826" w:type="dxa"/>
            <w:tcBorders>
              <w:top w:val="single" w:sz="4" w:space="0" w:color="auto"/>
              <w:bottom w:val="single" w:sz="4" w:space="0" w:color="auto"/>
            </w:tcBorders>
            <w:vAlign w:val="center"/>
          </w:tcPr>
          <w:p w14:paraId="4198E5FC" w14:textId="31FBA607" w:rsidR="00933173" w:rsidRPr="00D3779E" w:rsidRDefault="00933173" w:rsidP="00303F2F">
            <w:pPr>
              <w:pStyle w:val="FormFieldCaption"/>
              <w:jc w:val="center"/>
              <w:rPr>
                <w:sz w:val="22"/>
              </w:rPr>
            </w:pPr>
            <w:r w:rsidRPr="00D3779E">
              <w:rPr>
                <w:sz w:val="22"/>
              </w:rPr>
              <w:t>FIELD OF STUDY</w:t>
            </w:r>
          </w:p>
        </w:tc>
      </w:tr>
      <w:tr w:rsidR="00D013F8" w:rsidRPr="00D3779E" w14:paraId="5CD50646" w14:textId="77777777" w:rsidTr="00AB7299">
        <w:trPr>
          <w:cantSplit/>
          <w:trHeight w:val="288"/>
        </w:trPr>
        <w:tc>
          <w:tcPr>
            <w:tcW w:w="4860" w:type="dxa"/>
            <w:tcBorders>
              <w:top w:val="single" w:sz="4" w:space="0" w:color="auto"/>
            </w:tcBorders>
          </w:tcPr>
          <w:p w14:paraId="3B0C531B" w14:textId="05A6E0E8" w:rsidR="00D013F8" w:rsidRPr="00977FA5" w:rsidRDefault="00D013F8" w:rsidP="00D013F8">
            <w:pPr>
              <w:pStyle w:val="FormFieldCaption"/>
              <w:rPr>
                <w:sz w:val="22"/>
                <w:szCs w:val="22"/>
              </w:rPr>
            </w:pPr>
            <w:r>
              <w:rPr>
                <w:sz w:val="22"/>
                <w:szCs w:val="22"/>
              </w:rPr>
              <w:t>Queensland University of Technology, Australia</w:t>
            </w:r>
          </w:p>
        </w:tc>
        <w:tc>
          <w:tcPr>
            <w:tcW w:w="1260" w:type="dxa"/>
            <w:tcBorders>
              <w:top w:val="single" w:sz="4" w:space="0" w:color="auto"/>
            </w:tcBorders>
          </w:tcPr>
          <w:p w14:paraId="62DD05C1" w14:textId="4B00B5FA" w:rsidR="00D013F8" w:rsidRPr="00977FA5" w:rsidRDefault="00D013F8" w:rsidP="00D013F8">
            <w:pPr>
              <w:pStyle w:val="FormFieldCaption"/>
              <w:jc w:val="center"/>
              <w:rPr>
                <w:sz w:val="22"/>
                <w:szCs w:val="22"/>
              </w:rPr>
            </w:pPr>
            <w:r>
              <w:rPr>
                <w:sz w:val="22"/>
                <w:szCs w:val="22"/>
              </w:rPr>
              <w:t xml:space="preserve">BS </w:t>
            </w:r>
          </w:p>
        </w:tc>
        <w:tc>
          <w:tcPr>
            <w:tcW w:w="1890" w:type="dxa"/>
            <w:tcBorders>
              <w:top w:val="single" w:sz="4" w:space="0" w:color="auto"/>
            </w:tcBorders>
          </w:tcPr>
          <w:p w14:paraId="543299E0" w14:textId="47FF9B9A" w:rsidR="00D013F8" w:rsidRPr="00977FA5" w:rsidRDefault="00D013F8" w:rsidP="00D013F8">
            <w:pPr>
              <w:pStyle w:val="FormFieldCaption"/>
              <w:jc w:val="center"/>
              <w:rPr>
                <w:sz w:val="22"/>
                <w:szCs w:val="22"/>
              </w:rPr>
            </w:pPr>
            <w:r>
              <w:rPr>
                <w:sz w:val="22"/>
                <w:szCs w:val="22"/>
              </w:rPr>
              <w:t>12/2003</w:t>
            </w:r>
          </w:p>
        </w:tc>
        <w:tc>
          <w:tcPr>
            <w:tcW w:w="2826" w:type="dxa"/>
            <w:tcBorders>
              <w:top w:val="single" w:sz="4" w:space="0" w:color="auto"/>
            </w:tcBorders>
          </w:tcPr>
          <w:p w14:paraId="7BC5582F" w14:textId="34012E66" w:rsidR="00D013F8" w:rsidRPr="00977FA5" w:rsidRDefault="00D013F8" w:rsidP="00D013F8">
            <w:pPr>
              <w:pStyle w:val="FormFieldCaption"/>
              <w:rPr>
                <w:sz w:val="22"/>
                <w:szCs w:val="22"/>
              </w:rPr>
            </w:pPr>
            <w:r>
              <w:rPr>
                <w:sz w:val="22"/>
                <w:szCs w:val="22"/>
              </w:rPr>
              <w:t>Nutrition and Dietetics</w:t>
            </w:r>
          </w:p>
        </w:tc>
      </w:tr>
      <w:tr w:rsidR="00D013F8" w:rsidRPr="00D3779E" w14:paraId="1515F345" w14:textId="77777777" w:rsidTr="00AB7299">
        <w:trPr>
          <w:cantSplit/>
          <w:trHeight w:val="288"/>
        </w:trPr>
        <w:tc>
          <w:tcPr>
            <w:tcW w:w="4860" w:type="dxa"/>
          </w:tcPr>
          <w:p w14:paraId="7DED23E7" w14:textId="2C5DD586" w:rsidR="00D013F8" w:rsidRPr="00977FA5" w:rsidRDefault="00D013F8" w:rsidP="00D013F8">
            <w:pPr>
              <w:pStyle w:val="FormFieldCaption"/>
              <w:rPr>
                <w:sz w:val="22"/>
                <w:szCs w:val="22"/>
              </w:rPr>
            </w:pPr>
            <w:r>
              <w:rPr>
                <w:sz w:val="22"/>
                <w:szCs w:val="22"/>
              </w:rPr>
              <w:t>Queensland University of Technology, Australia</w:t>
            </w:r>
          </w:p>
        </w:tc>
        <w:tc>
          <w:tcPr>
            <w:tcW w:w="1260" w:type="dxa"/>
          </w:tcPr>
          <w:p w14:paraId="0D874BFC" w14:textId="2EA9259C" w:rsidR="00D013F8" w:rsidRPr="00977FA5" w:rsidRDefault="00D013F8" w:rsidP="00D013F8">
            <w:pPr>
              <w:pStyle w:val="FormFieldCaption"/>
              <w:jc w:val="center"/>
              <w:rPr>
                <w:sz w:val="22"/>
                <w:szCs w:val="22"/>
              </w:rPr>
            </w:pPr>
            <w:r>
              <w:rPr>
                <w:sz w:val="22"/>
                <w:szCs w:val="22"/>
              </w:rPr>
              <w:t>MPH</w:t>
            </w:r>
          </w:p>
        </w:tc>
        <w:tc>
          <w:tcPr>
            <w:tcW w:w="1890" w:type="dxa"/>
          </w:tcPr>
          <w:p w14:paraId="1A7AA7CA" w14:textId="5E1F4C98" w:rsidR="00D013F8" w:rsidRPr="00977FA5" w:rsidRDefault="00D013F8" w:rsidP="00D013F8">
            <w:pPr>
              <w:pStyle w:val="FormFieldCaption"/>
              <w:jc w:val="center"/>
              <w:rPr>
                <w:sz w:val="22"/>
                <w:szCs w:val="22"/>
              </w:rPr>
            </w:pPr>
            <w:r>
              <w:rPr>
                <w:sz w:val="22"/>
                <w:szCs w:val="22"/>
              </w:rPr>
              <w:t>12/2010</w:t>
            </w:r>
          </w:p>
        </w:tc>
        <w:tc>
          <w:tcPr>
            <w:tcW w:w="2826" w:type="dxa"/>
          </w:tcPr>
          <w:p w14:paraId="4CC74E5C" w14:textId="71CA46F2" w:rsidR="00D013F8" w:rsidRPr="00977FA5" w:rsidRDefault="00D013F8" w:rsidP="00D013F8">
            <w:pPr>
              <w:pStyle w:val="FormFieldCaption"/>
              <w:rPr>
                <w:sz w:val="22"/>
                <w:szCs w:val="22"/>
              </w:rPr>
            </w:pPr>
            <w:r>
              <w:rPr>
                <w:sz w:val="22"/>
                <w:szCs w:val="22"/>
              </w:rPr>
              <w:t>Epidemiology</w:t>
            </w:r>
          </w:p>
        </w:tc>
      </w:tr>
      <w:tr w:rsidR="00D013F8" w:rsidRPr="00D3779E" w14:paraId="51E27C1C" w14:textId="77777777" w:rsidTr="00AB7299">
        <w:trPr>
          <w:cantSplit/>
          <w:trHeight w:val="288"/>
        </w:trPr>
        <w:tc>
          <w:tcPr>
            <w:tcW w:w="4860" w:type="dxa"/>
          </w:tcPr>
          <w:p w14:paraId="66BC8FF0" w14:textId="247F087F" w:rsidR="00D013F8" w:rsidRPr="00977FA5" w:rsidRDefault="00D013F8" w:rsidP="00D013F8">
            <w:pPr>
              <w:pStyle w:val="FormFieldCaption"/>
              <w:rPr>
                <w:sz w:val="22"/>
                <w:szCs w:val="22"/>
              </w:rPr>
            </w:pPr>
            <w:r>
              <w:rPr>
                <w:sz w:val="22"/>
                <w:szCs w:val="22"/>
              </w:rPr>
              <w:t>Yale University</w:t>
            </w:r>
            <w:r w:rsidR="009D7DCE">
              <w:rPr>
                <w:sz w:val="22"/>
                <w:szCs w:val="22"/>
              </w:rPr>
              <w:t>,</w:t>
            </w:r>
            <w:r>
              <w:rPr>
                <w:sz w:val="22"/>
                <w:szCs w:val="22"/>
              </w:rPr>
              <w:t xml:space="preserve"> </w:t>
            </w:r>
            <w:r w:rsidR="009D7DCE">
              <w:rPr>
                <w:sz w:val="22"/>
                <w:szCs w:val="22"/>
              </w:rPr>
              <w:t>New Haven, CT</w:t>
            </w:r>
          </w:p>
        </w:tc>
        <w:tc>
          <w:tcPr>
            <w:tcW w:w="1260" w:type="dxa"/>
          </w:tcPr>
          <w:p w14:paraId="6AEADABA" w14:textId="17B5E5CF" w:rsidR="00D013F8" w:rsidRPr="00977FA5" w:rsidRDefault="00D013F8" w:rsidP="00D013F8">
            <w:pPr>
              <w:pStyle w:val="FormFieldCaption"/>
              <w:jc w:val="center"/>
              <w:rPr>
                <w:sz w:val="22"/>
                <w:szCs w:val="22"/>
              </w:rPr>
            </w:pPr>
            <w:r>
              <w:rPr>
                <w:sz w:val="22"/>
                <w:szCs w:val="22"/>
              </w:rPr>
              <w:t>MPhil</w:t>
            </w:r>
          </w:p>
        </w:tc>
        <w:tc>
          <w:tcPr>
            <w:tcW w:w="1890" w:type="dxa"/>
          </w:tcPr>
          <w:p w14:paraId="4ED60B07" w14:textId="49903F79" w:rsidR="00D013F8" w:rsidRPr="00977FA5" w:rsidRDefault="00D013F8" w:rsidP="00D013F8">
            <w:pPr>
              <w:pStyle w:val="FormFieldCaption"/>
              <w:jc w:val="center"/>
              <w:rPr>
                <w:sz w:val="22"/>
                <w:szCs w:val="22"/>
              </w:rPr>
            </w:pPr>
            <w:r>
              <w:rPr>
                <w:sz w:val="22"/>
                <w:szCs w:val="22"/>
              </w:rPr>
              <w:t>12/2015</w:t>
            </w:r>
          </w:p>
        </w:tc>
        <w:tc>
          <w:tcPr>
            <w:tcW w:w="2826" w:type="dxa"/>
          </w:tcPr>
          <w:p w14:paraId="2303550C" w14:textId="146E07EE" w:rsidR="00D013F8" w:rsidRPr="00977FA5" w:rsidRDefault="00D013F8" w:rsidP="00D013F8">
            <w:pPr>
              <w:pStyle w:val="FormFieldCaption"/>
              <w:rPr>
                <w:sz w:val="22"/>
                <w:szCs w:val="22"/>
              </w:rPr>
            </w:pPr>
            <w:r>
              <w:rPr>
                <w:sz w:val="22"/>
                <w:szCs w:val="22"/>
              </w:rPr>
              <w:t>Chronic Disease Epidemiology</w:t>
            </w:r>
          </w:p>
        </w:tc>
      </w:tr>
      <w:tr w:rsidR="00D013F8" w:rsidRPr="00D3779E" w14:paraId="09D52645" w14:textId="77777777" w:rsidTr="00AB7299">
        <w:trPr>
          <w:cantSplit/>
          <w:trHeight w:val="288"/>
        </w:trPr>
        <w:tc>
          <w:tcPr>
            <w:tcW w:w="4860" w:type="dxa"/>
          </w:tcPr>
          <w:p w14:paraId="76A4F390" w14:textId="6AE3A06D" w:rsidR="00D013F8" w:rsidRPr="00977FA5" w:rsidRDefault="00D013F8" w:rsidP="00D013F8">
            <w:pPr>
              <w:pStyle w:val="FormFieldCaption"/>
              <w:rPr>
                <w:sz w:val="22"/>
                <w:szCs w:val="22"/>
              </w:rPr>
            </w:pPr>
            <w:r>
              <w:rPr>
                <w:sz w:val="22"/>
                <w:szCs w:val="22"/>
              </w:rPr>
              <w:t>Yale University</w:t>
            </w:r>
            <w:r w:rsidR="009D7DCE">
              <w:rPr>
                <w:sz w:val="22"/>
                <w:szCs w:val="22"/>
              </w:rPr>
              <w:t>, New Haven, CT</w:t>
            </w:r>
          </w:p>
        </w:tc>
        <w:tc>
          <w:tcPr>
            <w:tcW w:w="1260" w:type="dxa"/>
          </w:tcPr>
          <w:p w14:paraId="3120D72C" w14:textId="2713C4C6" w:rsidR="00D013F8" w:rsidRPr="00977FA5" w:rsidRDefault="00D013F8" w:rsidP="00D013F8">
            <w:pPr>
              <w:pStyle w:val="FormFieldCaption"/>
              <w:jc w:val="center"/>
              <w:rPr>
                <w:sz w:val="22"/>
                <w:szCs w:val="22"/>
              </w:rPr>
            </w:pPr>
            <w:r>
              <w:rPr>
                <w:sz w:val="22"/>
                <w:szCs w:val="22"/>
              </w:rPr>
              <w:t>PhD</w:t>
            </w:r>
          </w:p>
        </w:tc>
        <w:tc>
          <w:tcPr>
            <w:tcW w:w="1890" w:type="dxa"/>
          </w:tcPr>
          <w:p w14:paraId="53EB7033" w14:textId="526157AB" w:rsidR="00D013F8" w:rsidRPr="00977FA5" w:rsidRDefault="00D013F8" w:rsidP="00D013F8">
            <w:pPr>
              <w:pStyle w:val="FormFieldCaption"/>
              <w:jc w:val="center"/>
              <w:rPr>
                <w:sz w:val="22"/>
                <w:szCs w:val="22"/>
              </w:rPr>
            </w:pPr>
            <w:r>
              <w:rPr>
                <w:sz w:val="22"/>
                <w:szCs w:val="22"/>
              </w:rPr>
              <w:t>05/2016</w:t>
            </w:r>
          </w:p>
        </w:tc>
        <w:tc>
          <w:tcPr>
            <w:tcW w:w="2826" w:type="dxa"/>
          </w:tcPr>
          <w:p w14:paraId="4418E34F" w14:textId="2060C4AA" w:rsidR="00D013F8" w:rsidRPr="00977FA5" w:rsidRDefault="00D013F8" w:rsidP="00D013F8">
            <w:pPr>
              <w:pStyle w:val="FormFieldCaption"/>
              <w:rPr>
                <w:sz w:val="22"/>
                <w:szCs w:val="22"/>
              </w:rPr>
            </w:pPr>
            <w:r>
              <w:rPr>
                <w:sz w:val="22"/>
                <w:szCs w:val="22"/>
              </w:rPr>
              <w:t>Chronic Disease Epidemiology</w:t>
            </w:r>
          </w:p>
        </w:tc>
      </w:tr>
      <w:tr w:rsidR="00D013F8" w:rsidRPr="00D3779E" w14:paraId="767906B9" w14:textId="77777777" w:rsidTr="00AB7299">
        <w:trPr>
          <w:cantSplit/>
          <w:trHeight w:val="288"/>
        </w:trPr>
        <w:tc>
          <w:tcPr>
            <w:tcW w:w="4860" w:type="dxa"/>
          </w:tcPr>
          <w:p w14:paraId="4D43CFA6" w14:textId="33FADAC7" w:rsidR="00D013F8" w:rsidRPr="00977FA5" w:rsidRDefault="009D7DCE" w:rsidP="00D013F8">
            <w:pPr>
              <w:pStyle w:val="FormFieldCaption"/>
              <w:rPr>
                <w:sz w:val="22"/>
                <w:szCs w:val="22"/>
              </w:rPr>
            </w:pPr>
            <w:r>
              <w:rPr>
                <w:sz w:val="22"/>
                <w:szCs w:val="22"/>
              </w:rPr>
              <w:t xml:space="preserve">National Cancer Institute, </w:t>
            </w:r>
            <w:r w:rsidR="00D013F8">
              <w:rPr>
                <w:sz w:val="22"/>
                <w:szCs w:val="22"/>
              </w:rPr>
              <w:t xml:space="preserve">Division of Cancer Epidemiology &amp; Genetics, </w:t>
            </w:r>
            <w:r>
              <w:rPr>
                <w:sz w:val="22"/>
                <w:szCs w:val="22"/>
              </w:rPr>
              <w:t>Bethesda, MD</w:t>
            </w:r>
          </w:p>
        </w:tc>
        <w:tc>
          <w:tcPr>
            <w:tcW w:w="1260" w:type="dxa"/>
          </w:tcPr>
          <w:p w14:paraId="3D81FEFA" w14:textId="2697CD01" w:rsidR="00D013F8" w:rsidRPr="00977FA5" w:rsidRDefault="00D013F8" w:rsidP="00AB7299">
            <w:pPr>
              <w:pStyle w:val="FormFieldCaption"/>
              <w:jc w:val="center"/>
              <w:rPr>
                <w:sz w:val="22"/>
                <w:szCs w:val="22"/>
              </w:rPr>
            </w:pPr>
            <w:r>
              <w:rPr>
                <w:sz w:val="22"/>
                <w:szCs w:val="22"/>
              </w:rPr>
              <w:t>Postdoc</w:t>
            </w:r>
            <w:r w:rsidR="00AB7299">
              <w:rPr>
                <w:sz w:val="22"/>
                <w:szCs w:val="22"/>
              </w:rPr>
              <w:t xml:space="preserve"> </w:t>
            </w:r>
            <w:r w:rsidR="009D7DCE">
              <w:rPr>
                <w:sz w:val="22"/>
                <w:szCs w:val="22"/>
              </w:rPr>
              <w:t>Fellowship</w:t>
            </w:r>
          </w:p>
        </w:tc>
        <w:tc>
          <w:tcPr>
            <w:tcW w:w="1890" w:type="dxa"/>
          </w:tcPr>
          <w:p w14:paraId="3F1F9756" w14:textId="01312006" w:rsidR="00D013F8" w:rsidRPr="00977FA5" w:rsidRDefault="00D013F8" w:rsidP="00D013F8">
            <w:pPr>
              <w:pStyle w:val="FormFieldCaption"/>
              <w:jc w:val="center"/>
              <w:rPr>
                <w:sz w:val="22"/>
                <w:szCs w:val="22"/>
              </w:rPr>
            </w:pPr>
            <w:r>
              <w:rPr>
                <w:sz w:val="22"/>
                <w:szCs w:val="22"/>
              </w:rPr>
              <w:t>04/2018</w:t>
            </w:r>
          </w:p>
        </w:tc>
        <w:tc>
          <w:tcPr>
            <w:tcW w:w="2826" w:type="dxa"/>
          </w:tcPr>
          <w:p w14:paraId="4D6D5595" w14:textId="54A624AD" w:rsidR="00D013F8" w:rsidRPr="00977FA5" w:rsidRDefault="00D013F8" w:rsidP="00D013F8">
            <w:pPr>
              <w:pStyle w:val="FormFieldCaption"/>
              <w:rPr>
                <w:sz w:val="22"/>
                <w:szCs w:val="22"/>
              </w:rPr>
            </w:pPr>
            <w:r>
              <w:rPr>
                <w:sz w:val="22"/>
                <w:szCs w:val="22"/>
              </w:rPr>
              <w:t>Cancer Epidemiology</w:t>
            </w:r>
          </w:p>
        </w:tc>
      </w:tr>
    </w:tbl>
    <w:p w14:paraId="4C57B95F" w14:textId="7C41250E" w:rsidR="00A1506D" w:rsidRDefault="00A1506D" w:rsidP="00AB7299">
      <w:pPr>
        <w:spacing w:before="120" w:after="120"/>
      </w:pPr>
      <w:r w:rsidRPr="00A1506D">
        <w:rPr>
          <w:rStyle w:val="Strong"/>
          <w:bCs w:val="0"/>
        </w:rPr>
        <w:t>A.</w:t>
      </w:r>
      <w:r>
        <w:rPr>
          <w:rStyle w:val="Strong"/>
        </w:rPr>
        <w:tab/>
      </w:r>
      <w:r w:rsidR="002C51BC" w:rsidRPr="00A128A0">
        <w:rPr>
          <w:rStyle w:val="Strong"/>
        </w:rPr>
        <w:t>Personal Statement</w:t>
      </w:r>
      <w:r w:rsidR="00FE10AD">
        <w:rPr>
          <w:rStyle w:val="Strong"/>
        </w:rPr>
        <w:br/>
      </w:r>
      <w:r w:rsidR="002E6FCE">
        <w:t xml:space="preserve">I am </w:t>
      </w:r>
      <w:r w:rsidR="00815D9F">
        <w:t>a</w:t>
      </w:r>
      <w:r w:rsidR="002E6FCE">
        <w:t xml:space="preserve"> </w:t>
      </w:r>
      <w:r w:rsidR="006B0DFF">
        <w:t xml:space="preserve">nutritional and cancer epidemiologist with expertise in conducting studies related to diet, metabolism and </w:t>
      </w:r>
      <w:r w:rsidR="00D13813">
        <w:t xml:space="preserve">cardiometabolic diseases including </w:t>
      </w:r>
      <w:r w:rsidR="00195AAF">
        <w:t>cancer</w:t>
      </w:r>
      <w:r w:rsidR="006B0DFF">
        <w:t>. My</w:t>
      </w:r>
      <w:r w:rsidR="006B0DFF" w:rsidRPr="005A29EB">
        <w:t xml:space="preserve"> research projects </w:t>
      </w:r>
      <w:r w:rsidR="008C3F70">
        <w:t>apply molecular approaches like metabolomics to explore the interface of diet and obesity with human metabolism and cancer. Studies have</w:t>
      </w:r>
      <w:r w:rsidR="006B0DFF">
        <w:t xml:space="preserve"> spanned</w:t>
      </w:r>
      <w:r w:rsidR="006B0DFF" w:rsidRPr="005A29EB">
        <w:t xml:space="preserve"> </w:t>
      </w:r>
      <w:r w:rsidR="006B0DFF">
        <w:t xml:space="preserve">disease </w:t>
      </w:r>
      <w:r w:rsidR="006B0DFF" w:rsidRPr="005A29EB">
        <w:t>etiology to survivorship, including both observational research and clinical trials</w:t>
      </w:r>
      <w:r w:rsidR="006B0DFF">
        <w:t>.</w:t>
      </w:r>
    </w:p>
    <w:p w14:paraId="4F652A4A" w14:textId="27C88716" w:rsidR="002E6FCE" w:rsidRDefault="009119EA" w:rsidP="004B2D0B">
      <w:pPr>
        <w:spacing w:after="120"/>
      </w:pPr>
      <w:r>
        <w:t xml:space="preserve">As a research dietitian and then </w:t>
      </w:r>
      <w:r w:rsidR="00D41F60">
        <w:t xml:space="preserve">a </w:t>
      </w:r>
      <w:r>
        <w:t xml:space="preserve">graduate research fellow, I </w:t>
      </w:r>
      <w:r w:rsidR="002061D5">
        <w:t>assisted in the design</w:t>
      </w:r>
      <w:bookmarkStart w:id="0" w:name="_GoBack"/>
      <w:bookmarkEnd w:id="0"/>
      <w:r>
        <w:t xml:space="preserve"> and implemented </w:t>
      </w:r>
      <w:r w:rsidR="00E658C8">
        <w:t>some of the first weight loss studies among cancer patients</w:t>
      </w:r>
      <w:r w:rsidR="00474A5A">
        <w:t xml:space="preserve">: the LEAN study </w:t>
      </w:r>
      <w:r w:rsidR="00132549">
        <w:t>(PI Melinda Irwin</w:t>
      </w:r>
      <w:r w:rsidR="00197C72">
        <w:t xml:space="preserve"> </w:t>
      </w:r>
      <w:r w:rsidR="00197C72" w:rsidRPr="00197C72">
        <w:t>NCT02109068</w:t>
      </w:r>
      <w:r w:rsidR="00132549">
        <w:t xml:space="preserve">) </w:t>
      </w:r>
      <w:r w:rsidR="00474A5A">
        <w:t>and CHOICE study</w:t>
      </w:r>
      <w:r w:rsidR="00132549">
        <w:t xml:space="preserve"> (PI Henry Thompson</w:t>
      </w:r>
      <w:r w:rsidR="00197C72">
        <w:t xml:space="preserve"> </w:t>
      </w:r>
      <w:r w:rsidR="00197C72" w:rsidRPr="00197C72">
        <w:t>NCT01315483</w:t>
      </w:r>
      <w:r w:rsidR="00132549">
        <w:t>)</w:t>
      </w:r>
      <w:r w:rsidR="006B0DFF">
        <w:t xml:space="preserve">. </w:t>
      </w:r>
      <w:r w:rsidR="003A556B">
        <w:t>I am the recipient of a National Cancer Institute R00 Pathwa</w:t>
      </w:r>
      <w:r w:rsidR="002561A0">
        <w:t>y to Independence Award, titled:</w:t>
      </w:r>
      <w:r w:rsidR="003A556B">
        <w:t xml:space="preserve"> “Blood metabolite profile and risk of </w:t>
      </w:r>
      <w:r w:rsidR="002561A0">
        <w:t xml:space="preserve">developing </w:t>
      </w:r>
      <w:r w:rsidR="003A556B">
        <w:t>endometrial cancer”</w:t>
      </w:r>
      <w:r w:rsidR="002561A0">
        <w:t>.</w:t>
      </w:r>
      <w:r w:rsidR="003A556B">
        <w:t xml:space="preserve"> </w:t>
      </w:r>
      <w:r w:rsidR="002561A0">
        <w:t>This study was</w:t>
      </w:r>
      <w:r w:rsidR="00881B60">
        <w:t xml:space="preserve"> </w:t>
      </w:r>
      <w:r w:rsidR="003A556B">
        <w:t xml:space="preserve">a meta-analysis </w:t>
      </w:r>
      <w:r w:rsidR="00087C8D">
        <w:t>of</w:t>
      </w:r>
      <w:r w:rsidR="003A556B">
        <w:t xml:space="preserve"> blood </w:t>
      </w:r>
      <w:r w:rsidR="00087C8D">
        <w:t>metabolites</w:t>
      </w:r>
      <w:r w:rsidR="003A556B">
        <w:t xml:space="preserve"> from three large cohort studies</w:t>
      </w:r>
      <w:r>
        <w:t xml:space="preserve"> including the Prostate, Lung, Colorectal and Ovarian </w:t>
      </w:r>
      <w:r w:rsidR="008C3F70">
        <w:t>(PLCO) C</w:t>
      </w:r>
      <w:r>
        <w:t>ancer cohort</w:t>
      </w:r>
      <w:r w:rsidR="003A556B">
        <w:t xml:space="preserve">. </w:t>
      </w:r>
      <w:r w:rsidR="00087C8D">
        <w:t>I</w:t>
      </w:r>
      <w:r w:rsidR="003A556B">
        <w:t xml:space="preserve"> </w:t>
      </w:r>
      <w:r w:rsidR="002561A0">
        <w:t>identified</w:t>
      </w:r>
      <w:r w:rsidR="003A556B">
        <w:t xml:space="preserve"> </w:t>
      </w:r>
      <w:r w:rsidR="002561A0">
        <w:t>metabolites prospectively associated with endometrial cancer</w:t>
      </w:r>
      <w:r>
        <w:t>,</w:t>
      </w:r>
      <w:r w:rsidR="00881B60">
        <w:t xml:space="preserve"> </w:t>
      </w:r>
      <w:r w:rsidR="007E06E0">
        <w:t>including</w:t>
      </w:r>
      <w:r w:rsidR="00881B60">
        <w:t xml:space="preserve"> </w:t>
      </w:r>
      <w:r w:rsidR="00881B60" w:rsidRPr="00D25AF0">
        <w:t>ceramides</w:t>
      </w:r>
      <w:r w:rsidR="00D25AF0">
        <w:t xml:space="preserve"> that are potent biomarkers of cardiometabolic disease risk</w:t>
      </w:r>
      <w:r w:rsidR="00AB7299">
        <w:t>, and</w:t>
      </w:r>
      <w:r w:rsidR="003A556B">
        <w:t xml:space="preserve"> metabolic mediators of the relationship between obesity and endometrial cancer (</w:t>
      </w:r>
      <w:r w:rsidR="003A556B" w:rsidRPr="008C3F70">
        <w:rPr>
          <w:i/>
        </w:rPr>
        <w:t>In Preparation</w:t>
      </w:r>
      <w:r w:rsidR="003A556B">
        <w:t xml:space="preserve">). </w:t>
      </w:r>
      <w:r w:rsidR="00087C8D">
        <w:t>The</w:t>
      </w:r>
      <w:r w:rsidR="00AB7299">
        <w:t xml:space="preserve"> findings </w:t>
      </w:r>
      <w:r w:rsidR="003A556B">
        <w:t xml:space="preserve">highlight the metabolic pathways to intervene upon for endometrial cancer prevention. </w:t>
      </w:r>
      <w:r w:rsidR="004D298D">
        <w:t>One such intervention is a form of intermittent fasting, time restricted eating (TRE), where all daily calories are consumed in a particular window of time during the day (e.g., 8-10 hours). TRE has been shown to modulate the pathways we identified as critical in my R00 study, many of which were also associated with breast cancer risk in prior large-scale metabolomics studies that I conducted at the NCI. This underscores the shared biology of female cancers. I am also currently Principal Investigator on two funded pilot studies evaluating the f</w:t>
      </w:r>
      <w:r w:rsidR="004D298D" w:rsidRPr="0066680E">
        <w:t xml:space="preserve">easibility and </w:t>
      </w:r>
      <w:r w:rsidR="004D298D">
        <w:t>a</w:t>
      </w:r>
      <w:r w:rsidR="004D298D" w:rsidRPr="0066680E">
        <w:t xml:space="preserve">cceptability of </w:t>
      </w:r>
      <w:r w:rsidR="004D298D">
        <w:t>TRE for effects on metabolic health parameters and gut microbial diversity</w:t>
      </w:r>
      <w:r w:rsidR="004D298D" w:rsidRPr="0066680E">
        <w:t xml:space="preserve"> among </w:t>
      </w:r>
      <w:r w:rsidR="004D298D">
        <w:t>(i) endometrial cancer survivors (</w:t>
      </w:r>
      <w:r w:rsidR="004D298D" w:rsidRPr="00B05B9B">
        <w:t>NCT04783467</w:t>
      </w:r>
      <w:r w:rsidR="004D298D">
        <w:t xml:space="preserve">) and (ii) </w:t>
      </w:r>
      <w:r w:rsidR="004D298D" w:rsidRPr="0066680E">
        <w:t>Native Hawaiian and Pacific Islander Women at Risk for Developing Endometrial Cancer</w:t>
      </w:r>
      <w:r w:rsidR="004D298D">
        <w:t xml:space="preserve"> (</w:t>
      </w:r>
      <w:r w:rsidR="004D298D" w:rsidRPr="006B0DFF">
        <w:t>NCT04763902</w:t>
      </w:r>
      <w:r w:rsidR="004D298D">
        <w:t xml:space="preserve">). These studies will form the foundation for testing TRE as a dietary strategy for reducing risk of female cancers and improving outcomes among cancer survivors. </w:t>
      </w:r>
      <w:r w:rsidR="00A1506D">
        <w:t xml:space="preserve">I am also PI on several studies </w:t>
      </w:r>
      <w:r w:rsidR="00087C8D">
        <w:t>interrogating</w:t>
      </w:r>
      <w:r w:rsidR="00A1506D" w:rsidRPr="00A1506D">
        <w:rPr>
          <w:rFonts w:cs="Arial"/>
          <w:szCs w:val="22"/>
        </w:rPr>
        <w:t xml:space="preserve"> the lifestyle, medical (e.g., cancer treatment) and metabolic (glycomics, metabolomics) predictors of new-onset type 2 diabetes after cancer diagnosis.</w:t>
      </w:r>
      <w:r w:rsidR="00A755FC">
        <w:t xml:space="preserve"> </w:t>
      </w:r>
      <w:r w:rsidR="004D298D">
        <w:t xml:space="preserve">Collectively, these studies highlight the metabolic pathways to intervene upon for endometrial cancer prevention and survival. </w:t>
      </w:r>
      <w:r w:rsidR="002E6FCE">
        <w:t xml:space="preserve">I currently Chair the international Consortium of Metabolomics Studies (COMETS) Diet Working Group and Co-chair the ColoCare Diet Working Group (PI Ulrich), </w:t>
      </w:r>
      <w:r w:rsidR="00F66F32">
        <w:t>which comprises of</w:t>
      </w:r>
      <w:r w:rsidR="002E6FCE">
        <w:t xml:space="preserve"> colorectal cancer survivors. These </w:t>
      </w:r>
      <w:r w:rsidR="00175743">
        <w:t>roles</w:t>
      </w:r>
      <w:r w:rsidR="002E6FCE">
        <w:t xml:space="preserve"> </w:t>
      </w:r>
      <w:r w:rsidR="00175743">
        <w:t>enable</w:t>
      </w:r>
      <w:r w:rsidR="00A755FC">
        <w:t xml:space="preserve"> me to grow my leadership skills by coordinating research efforts among international research leaders</w:t>
      </w:r>
      <w:r w:rsidR="000D085A">
        <w:t xml:space="preserve"> on the topics of diet, metabolism, and metabolic disease</w:t>
      </w:r>
      <w:r w:rsidR="000754DA">
        <w:t>.</w:t>
      </w:r>
    </w:p>
    <w:p w14:paraId="579C57AC" w14:textId="77777777" w:rsidR="002C63F6" w:rsidRPr="00297619" w:rsidRDefault="002C63F6" w:rsidP="006D5C1E">
      <w:pPr>
        <w:spacing w:after="120"/>
      </w:pPr>
      <w:r w:rsidRPr="00297619">
        <w:t>Ongoing and recently completed projects that I would like to highlight include:</w:t>
      </w:r>
    </w:p>
    <w:p w14:paraId="44D8C0CE" w14:textId="43688F72" w:rsidR="002C63F6" w:rsidRDefault="002C63F6" w:rsidP="006D5C1E">
      <w:pPr>
        <w:rPr>
          <w:rFonts w:cs="Arial"/>
          <w:iCs/>
          <w:szCs w:val="22"/>
        </w:rPr>
      </w:pPr>
      <w:r>
        <w:rPr>
          <w:rFonts w:cs="Arial"/>
          <w:iCs/>
          <w:szCs w:val="22"/>
        </w:rPr>
        <w:t>5 for the Fight Fellowship</w:t>
      </w:r>
    </w:p>
    <w:p w14:paraId="1D53EFBE" w14:textId="10BA4D43" w:rsidR="006D5C1E" w:rsidRDefault="006D5C1E" w:rsidP="006D5C1E">
      <w:pPr>
        <w:rPr>
          <w:rFonts w:cs="Arial"/>
          <w:iCs/>
          <w:szCs w:val="22"/>
        </w:rPr>
      </w:pPr>
      <w:r>
        <w:rPr>
          <w:rFonts w:cs="Arial"/>
          <w:iCs/>
          <w:szCs w:val="22"/>
        </w:rPr>
        <w:t>Playdon (PI)</w:t>
      </w:r>
    </w:p>
    <w:p w14:paraId="5632CDF8" w14:textId="761479A2" w:rsidR="000D6D2B" w:rsidRDefault="000D6D2B" w:rsidP="006D5C1E">
      <w:pPr>
        <w:rPr>
          <w:rFonts w:cs="Arial"/>
          <w:iCs/>
          <w:szCs w:val="22"/>
        </w:rPr>
      </w:pPr>
      <w:r>
        <w:rPr>
          <w:rFonts w:cs="Arial"/>
          <w:szCs w:val="22"/>
        </w:rPr>
        <w:t>07/01/2021-06/30/2024</w:t>
      </w:r>
    </w:p>
    <w:p w14:paraId="52B45058" w14:textId="5E798509" w:rsidR="006D5C1E" w:rsidRDefault="006D5C1E" w:rsidP="006D5C1E">
      <w:r w:rsidRPr="006D5C1E">
        <w:lastRenderedPageBreak/>
        <w:t>Investigating metabolic obesity, meal timing and diet quality in the development of cardiometabolic outcomes in endometrial cancer patients</w:t>
      </w:r>
    </w:p>
    <w:p w14:paraId="76F198A3" w14:textId="2D799469" w:rsidR="006D5C1E" w:rsidRDefault="006D5C1E" w:rsidP="006D5C1E"/>
    <w:p w14:paraId="2C3F48E7" w14:textId="5D828D81" w:rsidR="006D5C1E" w:rsidRDefault="009B76D8" w:rsidP="006D5C1E">
      <w:r>
        <w:t xml:space="preserve">American Cancer Society </w:t>
      </w:r>
      <w:r w:rsidR="006D5C1E" w:rsidRPr="006D5C1E">
        <w:t>Research Scholar Grant CCE – 135107</w:t>
      </w:r>
    </w:p>
    <w:p w14:paraId="66935C82" w14:textId="42135B17" w:rsidR="006D5C1E" w:rsidRDefault="006D5C1E" w:rsidP="006D5C1E">
      <w:r>
        <w:t>Tabung (PI), Role: Co-Investigator</w:t>
      </w:r>
    </w:p>
    <w:p w14:paraId="7B9A465C" w14:textId="44C6FB35" w:rsidR="000D6D2B" w:rsidRPr="000D6D2B" w:rsidRDefault="000D6D2B" w:rsidP="006D5C1E">
      <w:pPr>
        <w:rPr>
          <w:rFonts w:cs="Arial"/>
          <w:szCs w:val="22"/>
        </w:rPr>
      </w:pPr>
      <w:r w:rsidRPr="007C24BE">
        <w:rPr>
          <w:rFonts w:cs="Arial"/>
          <w:szCs w:val="22"/>
        </w:rPr>
        <w:t>01/01/2021-12/30/202</w:t>
      </w:r>
      <w:r>
        <w:rPr>
          <w:rFonts w:cs="Arial"/>
          <w:szCs w:val="22"/>
        </w:rPr>
        <w:t>5</w:t>
      </w:r>
    </w:p>
    <w:p w14:paraId="0629DF8B" w14:textId="5580B547" w:rsidR="006D5C1E" w:rsidRDefault="006D5C1E" w:rsidP="006D5C1E">
      <w:r w:rsidRPr="006D5C1E">
        <w:t>Metabolomics of Insulinemic Diets and Colon Cancer Risk</w:t>
      </w:r>
    </w:p>
    <w:p w14:paraId="45B740CE" w14:textId="223DFAC6" w:rsidR="006D5C1E" w:rsidRDefault="006D5C1E" w:rsidP="006D5C1E"/>
    <w:p w14:paraId="3ECA52E6" w14:textId="2FAF4288" w:rsidR="006D5C1E" w:rsidRDefault="006D5C1E" w:rsidP="006D5C1E">
      <w:r>
        <w:t xml:space="preserve">NCI </w:t>
      </w:r>
      <w:r w:rsidRPr="006D5C1E">
        <w:t>R00CA218694</w:t>
      </w:r>
    </w:p>
    <w:p w14:paraId="71983864" w14:textId="352A724E" w:rsidR="006D5C1E" w:rsidRDefault="006D5C1E" w:rsidP="006D5C1E">
      <w:r>
        <w:t>Playdon (PI)</w:t>
      </w:r>
    </w:p>
    <w:p w14:paraId="386FE531" w14:textId="37B84DE3" w:rsidR="000D6D2B" w:rsidRDefault="000D6D2B" w:rsidP="006D5C1E">
      <w:r w:rsidRPr="00E3721F">
        <w:rPr>
          <w:rFonts w:cs="Arial"/>
          <w:szCs w:val="22"/>
        </w:rPr>
        <w:t>05/01/2018-04/30/2022</w:t>
      </w:r>
    </w:p>
    <w:p w14:paraId="588FF660" w14:textId="1729D8C7" w:rsidR="006D5C1E" w:rsidRDefault="006D5C1E" w:rsidP="006D5C1E">
      <w:r w:rsidRPr="006D5C1E">
        <w:t>Blood Metabolite Profiles and Risk of Developing Endometrial Cancer</w:t>
      </w:r>
    </w:p>
    <w:p w14:paraId="3B6E07E2" w14:textId="07314EC8" w:rsidR="006D5C1E" w:rsidRDefault="006D5C1E" w:rsidP="006D5C1E"/>
    <w:p w14:paraId="09A814CB" w14:textId="019A8610" w:rsidR="006D5C1E" w:rsidRDefault="006D5C1E" w:rsidP="006D5C1E">
      <w:r w:rsidRPr="006D5C1E">
        <w:t>Cancer Control and Population Sciences Pilot Grant</w:t>
      </w:r>
      <w:r>
        <w:t>, Huntsman Cancer Institute</w:t>
      </w:r>
    </w:p>
    <w:p w14:paraId="2E19F4AA" w14:textId="657080A3" w:rsidR="006D5C1E" w:rsidRDefault="006D5C1E" w:rsidP="006D5C1E">
      <w:r>
        <w:t>Playdon (PI)</w:t>
      </w:r>
    </w:p>
    <w:p w14:paraId="2803C961" w14:textId="308AC529" w:rsidR="000D6D2B" w:rsidRPr="000D6D2B" w:rsidRDefault="000D6D2B" w:rsidP="000D6D2B">
      <w:pPr>
        <w:widowControl w:val="0"/>
        <w:tabs>
          <w:tab w:val="left" w:pos="4338"/>
          <w:tab w:val="left" w:pos="7200"/>
          <w:tab w:val="left" w:pos="10998"/>
        </w:tabs>
        <w:rPr>
          <w:rFonts w:cs="Arial"/>
          <w:szCs w:val="22"/>
        </w:rPr>
      </w:pPr>
      <w:r>
        <w:rPr>
          <w:rFonts w:cs="Arial"/>
          <w:szCs w:val="22"/>
        </w:rPr>
        <w:t>5/1/2021 – 4/30/2022</w:t>
      </w:r>
    </w:p>
    <w:p w14:paraId="68784787" w14:textId="46E12709" w:rsidR="006D5C1E" w:rsidRDefault="006D5C1E" w:rsidP="006D5C1E">
      <w:r w:rsidRPr="006D5C1E">
        <w:t>Dietary botanical diversity in relation to gut microbial diversity and activity and gastrointestinal symptoms among colorectal cancer patients</w:t>
      </w:r>
    </w:p>
    <w:p w14:paraId="46A36108" w14:textId="04CE44CE" w:rsidR="006D5C1E" w:rsidRDefault="006D5C1E" w:rsidP="006D5C1E"/>
    <w:p w14:paraId="78323E97" w14:textId="66D157E3" w:rsidR="006D5C1E" w:rsidRDefault="006D5C1E" w:rsidP="006D5C1E">
      <w:r w:rsidRPr="006D5C1E">
        <w:t>Women’s Cancers Center Research Seed Grant, Huntsman Cancer Institute</w:t>
      </w:r>
    </w:p>
    <w:p w14:paraId="585C4509" w14:textId="4CEF9F11" w:rsidR="006D5C1E" w:rsidRDefault="006D5C1E" w:rsidP="006D5C1E">
      <w:r>
        <w:t>Playdon (PI)</w:t>
      </w:r>
    </w:p>
    <w:p w14:paraId="1FB61D67" w14:textId="43DE9940" w:rsidR="000D6D2B" w:rsidRPr="000D6D2B" w:rsidRDefault="000D6D2B" w:rsidP="000D6D2B">
      <w:pPr>
        <w:widowControl w:val="0"/>
        <w:tabs>
          <w:tab w:val="left" w:pos="4338"/>
          <w:tab w:val="left" w:pos="7200"/>
          <w:tab w:val="left" w:pos="10998"/>
        </w:tabs>
        <w:rPr>
          <w:rFonts w:cs="Arial"/>
          <w:szCs w:val="22"/>
        </w:rPr>
      </w:pPr>
      <w:r w:rsidRPr="00E3721F">
        <w:rPr>
          <w:rFonts w:cs="Arial"/>
          <w:szCs w:val="22"/>
        </w:rPr>
        <w:t xml:space="preserve">12/23/2019-12/23/2022 </w:t>
      </w:r>
    </w:p>
    <w:p w14:paraId="22431F47" w14:textId="5E0C13A7" w:rsidR="006D5C1E" w:rsidRDefault="006D5C1E" w:rsidP="006D5C1E">
      <w:r>
        <w:t xml:space="preserve">Feasibility and Acceptability of Time Restricted </w:t>
      </w:r>
      <w:r w:rsidR="000D6D2B">
        <w:t xml:space="preserve">Eating among Endometrial Cancer </w:t>
      </w:r>
      <w:r>
        <w:t>Patients (NCT04783467)</w:t>
      </w:r>
    </w:p>
    <w:p w14:paraId="3E6BEEFC" w14:textId="77777777" w:rsidR="006D5C1E" w:rsidRDefault="006D5C1E" w:rsidP="004B2D0B">
      <w:pPr>
        <w:spacing w:after="120"/>
      </w:pPr>
    </w:p>
    <w:p w14:paraId="164212A4" w14:textId="03E7DF29" w:rsidR="006B0DFF" w:rsidRPr="006B0DFF" w:rsidRDefault="00A75AD3" w:rsidP="00B7168E">
      <w:pPr>
        <w:spacing w:after="40"/>
        <w:rPr>
          <w:rFonts w:cs="Arial"/>
          <w:szCs w:val="22"/>
        </w:rPr>
      </w:pPr>
      <w:r>
        <w:rPr>
          <w:rFonts w:cs="Arial"/>
          <w:szCs w:val="22"/>
          <w:u w:val="single"/>
        </w:rPr>
        <w:t>Recent</w:t>
      </w:r>
      <w:r w:rsidR="006B0DFF" w:rsidRPr="009B1DD3">
        <w:rPr>
          <w:rFonts w:cs="Arial"/>
          <w:szCs w:val="22"/>
          <w:u w:val="single"/>
        </w:rPr>
        <w:t xml:space="preserve"> publications </w:t>
      </w:r>
      <w:r>
        <w:rPr>
          <w:rFonts w:cs="Arial"/>
          <w:szCs w:val="22"/>
          <w:u w:val="single"/>
        </w:rPr>
        <w:t>highlighting work related to epidemiological studies of metabolism and cardiometabolic diseases</w:t>
      </w:r>
      <w:r w:rsidR="00433DA9">
        <w:rPr>
          <w:rFonts w:cs="Arial"/>
          <w:szCs w:val="22"/>
          <w:u w:val="single"/>
        </w:rPr>
        <w:t xml:space="preserve"> including cancer</w:t>
      </w:r>
      <w:r w:rsidR="006B0DFF" w:rsidRPr="006B0DFF">
        <w:rPr>
          <w:rFonts w:cs="Arial"/>
          <w:szCs w:val="22"/>
        </w:rPr>
        <w:t>:</w:t>
      </w:r>
    </w:p>
    <w:p w14:paraId="5442B6BC" w14:textId="6C498643" w:rsidR="00142231" w:rsidRDefault="00142231" w:rsidP="00142231">
      <w:pPr>
        <w:pStyle w:val="BodyTextIndent"/>
        <w:numPr>
          <w:ilvl w:val="0"/>
          <w:numId w:val="41"/>
        </w:numPr>
        <w:tabs>
          <w:tab w:val="left" w:pos="270"/>
          <w:tab w:val="left" w:pos="630"/>
        </w:tabs>
        <w:autoSpaceDE/>
        <w:autoSpaceDN/>
        <w:spacing w:after="120"/>
        <w:jc w:val="left"/>
        <w:rPr>
          <w:color w:val="auto"/>
          <w:sz w:val="22"/>
          <w:szCs w:val="22"/>
          <w:u w:val="single"/>
        </w:rPr>
      </w:pPr>
      <w:r>
        <w:rPr>
          <w:color w:val="auto"/>
          <w:sz w:val="22"/>
          <w:szCs w:val="22"/>
        </w:rPr>
        <w:t xml:space="preserve">Poss A, Maschek JA, Cox JE, Hauner BJ, Hopkins PN, Hunt SC, Holland WL, </w:t>
      </w:r>
      <w:r w:rsidRPr="00082AF0">
        <w:rPr>
          <w:color w:val="auto"/>
          <w:sz w:val="22"/>
          <w:szCs w:val="22"/>
        </w:rPr>
        <w:t>Summers SA</w:t>
      </w:r>
      <w:r>
        <w:rPr>
          <w:color w:val="auto"/>
          <w:sz w:val="22"/>
          <w:szCs w:val="22"/>
        </w:rPr>
        <w:t xml:space="preserve">, </w:t>
      </w:r>
      <w:r w:rsidRPr="00B53799">
        <w:rPr>
          <w:b/>
          <w:bCs/>
          <w:color w:val="auto"/>
          <w:sz w:val="22"/>
          <w:szCs w:val="22"/>
        </w:rPr>
        <w:t>Playdon MC</w:t>
      </w:r>
      <w:r>
        <w:rPr>
          <w:color w:val="auto"/>
          <w:sz w:val="22"/>
          <w:szCs w:val="22"/>
        </w:rPr>
        <w:t xml:space="preserve">. </w:t>
      </w:r>
      <w:r w:rsidRPr="009000BC">
        <w:rPr>
          <w:color w:val="auto"/>
          <w:sz w:val="22"/>
          <w:szCs w:val="22"/>
        </w:rPr>
        <w:t xml:space="preserve">Machine Learning Reveals Serum Sphingolipids as Cholesterol-Independent Biomarkers of Coronary Artery </w:t>
      </w:r>
      <w:r>
        <w:rPr>
          <w:color w:val="auto"/>
          <w:sz w:val="22"/>
          <w:szCs w:val="22"/>
        </w:rPr>
        <w:tab/>
      </w:r>
      <w:r w:rsidRPr="009000BC">
        <w:rPr>
          <w:color w:val="auto"/>
          <w:sz w:val="22"/>
          <w:szCs w:val="22"/>
        </w:rPr>
        <w:t>Disease</w:t>
      </w:r>
      <w:r>
        <w:rPr>
          <w:color w:val="auto"/>
          <w:sz w:val="22"/>
          <w:szCs w:val="22"/>
        </w:rPr>
        <w:t xml:space="preserve">. </w:t>
      </w:r>
      <w:r>
        <w:rPr>
          <w:i/>
          <w:color w:val="auto"/>
          <w:sz w:val="22"/>
          <w:szCs w:val="22"/>
        </w:rPr>
        <w:t>J Clin Invest.</w:t>
      </w:r>
      <w:r>
        <w:rPr>
          <w:color w:val="auto"/>
          <w:sz w:val="22"/>
          <w:szCs w:val="22"/>
        </w:rPr>
        <w:t xml:space="preserve"> 2020; 130(3): 1363-76. </w:t>
      </w:r>
      <w:r>
        <w:rPr>
          <w:color w:val="auto"/>
          <w:sz w:val="22"/>
          <w:szCs w:val="22"/>
          <w:u w:val="single"/>
        </w:rPr>
        <w:t>PMCID: PMC7269567</w:t>
      </w:r>
    </w:p>
    <w:p w14:paraId="54DE2CC1" w14:textId="6E7219D1" w:rsidR="00A75AD3" w:rsidRPr="00500E97" w:rsidRDefault="00A75AD3" w:rsidP="00A75AD3">
      <w:pPr>
        <w:pStyle w:val="ListParagraph"/>
        <w:numPr>
          <w:ilvl w:val="0"/>
          <w:numId w:val="41"/>
        </w:numPr>
        <w:spacing w:after="120"/>
        <w:rPr>
          <w:rFonts w:cs="Arial"/>
          <w:szCs w:val="22"/>
        </w:rPr>
      </w:pPr>
      <w:r w:rsidRPr="007C7D14">
        <w:rPr>
          <w:rFonts w:cs="Arial"/>
          <w:b/>
          <w:szCs w:val="22"/>
        </w:rPr>
        <w:t>Playdon MC</w:t>
      </w:r>
      <w:r w:rsidRPr="007C7D14">
        <w:rPr>
          <w:rFonts w:cs="Arial"/>
          <w:szCs w:val="22"/>
        </w:rPr>
        <w:t xml:space="preserve">, Ziegler RG, Sampson JN, Stolzenberg-Solomon R, Thompson HJ, Irwin ML, Mayne ST, Hoover RN, Moore SC. Nutritional metabolomics and breast cancer risk in a prospective study. </w:t>
      </w:r>
      <w:r w:rsidRPr="00303F2F">
        <w:rPr>
          <w:rFonts w:cs="Arial"/>
          <w:i/>
          <w:szCs w:val="22"/>
        </w:rPr>
        <w:t>Am J Clin Nutr</w:t>
      </w:r>
      <w:r w:rsidRPr="007C7D14">
        <w:rPr>
          <w:rFonts w:cs="Arial"/>
          <w:szCs w:val="22"/>
        </w:rPr>
        <w:t>. 2017</w:t>
      </w:r>
      <w:r>
        <w:rPr>
          <w:rFonts w:cs="Arial"/>
          <w:szCs w:val="22"/>
        </w:rPr>
        <w:t xml:space="preserve">; 106(2): 637-49. </w:t>
      </w:r>
      <w:r w:rsidRPr="00303F2F">
        <w:rPr>
          <w:rFonts w:cs="Arial"/>
          <w:szCs w:val="22"/>
          <w:u w:val="single"/>
        </w:rPr>
        <w:t>PMCID: PMC5525118</w:t>
      </w:r>
    </w:p>
    <w:p w14:paraId="2617F4B4" w14:textId="77777777" w:rsidR="00500E97" w:rsidRPr="00303F2F" w:rsidRDefault="00500E97" w:rsidP="00500E97">
      <w:pPr>
        <w:pStyle w:val="ListParagraph"/>
        <w:numPr>
          <w:ilvl w:val="0"/>
          <w:numId w:val="41"/>
        </w:numPr>
        <w:spacing w:after="120"/>
        <w:rPr>
          <w:rFonts w:cs="Arial"/>
          <w:color w:val="000000" w:themeColor="text1"/>
          <w:szCs w:val="22"/>
        </w:rPr>
      </w:pPr>
      <w:r w:rsidRPr="009472B3">
        <w:rPr>
          <w:rFonts w:cs="Arial"/>
          <w:color w:val="000000" w:themeColor="text1"/>
          <w:szCs w:val="22"/>
        </w:rPr>
        <w:t xml:space="preserve">Moore SC, </w:t>
      </w:r>
      <w:r w:rsidRPr="009472B3">
        <w:rPr>
          <w:rFonts w:cs="Arial"/>
          <w:b/>
          <w:color w:val="000000" w:themeColor="text1"/>
          <w:szCs w:val="22"/>
        </w:rPr>
        <w:t>Playdon MC</w:t>
      </w:r>
      <w:r w:rsidRPr="009472B3">
        <w:rPr>
          <w:rFonts w:cs="Arial"/>
          <w:color w:val="000000" w:themeColor="text1"/>
          <w:szCs w:val="22"/>
        </w:rPr>
        <w:t xml:space="preserve">, Sampson JN, Hoover RN, Trabert B, Matthews CE, Ziegler RG. A metabolomics analysis of body mass index and postmenopausal breast cancer risk. </w:t>
      </w:r>
      <w:r w:rsidRPr="00303F2F">
        <w:rPr>
          <w:rFonts w:cs="Arial"/>
          <w:i/>
          <w:color w:val="000000" w:themeColor="text1"/>
          <w:szCs w:val="22"/>
        </w:rPr>
        <w:t>J Natl Cancer Inst</w:t>
      </w:r>
      <w:r w:rsidRPr="009472B3">
        <w:rPr>
          <w:rFonts w:cs="Arial"/>
          <w:color w:val="000000" w:themeColor="text1"/>
          <w:szCs w:val="22"/>
        </w:rPr>
        <w:t>. 2018</w:t>
      </w:r>
      <w:r>
        <w:rPr>
          <w:rFonts w:cs="Arial"/>
          <w:color w:val="000000" w:themeColor="text1"/>
          <w:szCs w:val="22"/>
        </w:rPr>
        <w:t>; 110(6): 588-97.</w:t>
      </w:r>
      <w:r w:rsidRPr="009472B3">
        <w:rPr>
          <w:rFonts w:cs="Arial"/>
          <w:color w:val="000000" w:themeColor="text1"/>
          <w:szCs w:val="22"/>
        </w:rPr>
        <w:t xml:space="preserve"> </w:t>
      </w:r>
      <w:r w:rsidRPr="00303F2F">
        <w:rPr>
          <w:rFonts w:cs="Arial"/>
          <w:color w:val="000000" w:themeColor="text1"/>
          <w:szCs w:val="22"/>
          <w:u w:val="single"/>
        </w:rPr>
        <w:t>PMCID: PMC6279273</w:t>
      </w:r>
    </w:p>
    <w:p w14:paraId="2A55512D" w14:textId="77777777" w:rsidR="00500E97" w:rsidRPr="009472B3" w:rsidRDefault="00500E97" w:rsidP="00500E97">
      <w:pPr>
        <w:pStyle w:val="ListParagraph"/>
        <w:spacing w:after="120"/>
        <w:ind w:left="360"/>
        <w:rPr>
          <w:rFonts w:cs="Arial"/>
          <w:szCs w:val="22"/>
        </w:rPr>
      </w:pPr>
    </w:p>
    <w:p w14:paraId="6BB7EC75" w14:textId="04C60937" w:rsidR="00D013F8" w:rsidRPr="005A73B9" w:rsidRDefault="005A73B9">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p>
    <w:tbl>
      <w:tblPr>
        <w:tblW w:w="0" w:type="auto"/>
        <w:tblLook w:val="04A0" w:firstRow="1" w:lastRow="0" w:firstColumn="1" w:lastColumn="0" w:noHBand="0" w:noVBand="1"/>
      </w:tblPr>
      <w:tblGrid>
        <w:gridCol w:w="1350"/>
        <w:gridCol w:w="8999"/>
        <w:gridCol w:w="6"/>
      </w:tblGrid>
      <w:tr w:rsidR="00D013F8" w:rsidRPr="00A9330A" w14:paraId="6A92CDD9" w14:textId="77777777" w:rsidTr="00B042F6">
        <w:tc>
          <w:tcPr>
            <w:tcW w:w="10355" w:type="dxa"/>
            <w:gridSpan w:val="3"/>
            <w:shd w:val="clear" w:color="auto" w:fill="auto"/>
          </w:tcPr>
          <w:p w14:paraId="09F72D55" w14:textId="72FBD324" w:rsidR="00D013F8" w:rsidRDefault="00D013F8" w:rsidP="005A73B9">
            <w:pPr>
              <w:spacing w:after="80"/>
              <w:rPr>
                <w:rFonts w:cs="Arial"/>
                <w:szCs w:val="22"/>
              </w:rPr>
            </w:pPr>
            <w:r w:rsidRPr="0028768B">
              <w:rPr>
                <w:rFonts w:cs="Arial"/>
                <w:b/>
                <w:szCs w:val="22"/>
                <w:u w:val="single"/>
              </w:rPr>
              <w:t>Positions</w:t>
            </w:r>
          </w:p>
        </w:tc>
      </w:tr>
      <w:tr w:rsidR="00B042F6" w:rsidRPr="00A9330A" w14:paraId="41F0E0A3" w14:textId="77777777" w:rsidTr="00B042F6">
        <w:trPr>
          <w:gridAfter w:val="1"/>
          <w:wAfter w:w="6" w:type="dxa"/>
          <w:trHeight w:val="557"/>
        </w:trPr>
        <w:tc>
          <w:tcPr>
            <w:tcW w:w="1350" w:type="dxa"/>
            <w:shd w:val="clear" w:color="auto" w:fill="auto"/>
          </w:tcPr>
          <w:p w14:paraId="3C22A5C3" w14:textId="6E4DCFF4" w:rsidR="00B042F6" w:rsidRDefault="00B042F6" w:rsidP="00B042F6">
            <w:pPr>
              <w:rPr>
                <w:rFonts w:cs="Arial"/>
                <w:szCs w:val="22"/>
              </w:rPr>
            </w:pPr>
            <w:r w:rsidRPr="00470A87">
              <w:t>May 2018-</w:t>
            </w:r>
          </w:p>
        </w:tc>
        <w:tc>
          <w:tcPr>
            <w:tcW w:w="8999" w:type="dxa"/>
            <w:shd w:val="clear" w:color="auto" w:fill="auto"/>
          </w:tcPr>
          <w:p w14:paraId="1FC0C922" w14:textId="51DB70DC" w:rsidR="00B042F6" w:rsidRPr="00B207B4" w:rsidRDefault="00B042F6" w:rsidP="00B042F6">
            <w:pPr>
              <w:rPr>
                <w:rFonts w:cs="Arial"/>
                <w:szCs w:val="22"/>
              </w:rPr>
            </w:pPr>
            <w:r w:rsidRPr="00470A87">
              <w:t>Assistant Professor, Nutrition &amp; Integrative Physiology; Investigator, Huntsman Cancer Institute (HCI), University of Utah (UU), Salt Lake City, UT</w:t>
            </w:r>
          </w:p>
        </w:tc>
      </w:tr>
      <w:tr w:rsidR="00B042F6" w:rsidRPr="00A9330A" w14:paraId="01213984" w14:textId="77777777" w:rsidTr="00B042F6">
        <w:trPr>
          <w:gridAfter w:val="1"/>
          <w:wAfter w:w="6" w:type="dxa"/>
          <w:trHeight w:val="620"/>
        </w:trPr>
        <w:tc>
          <w:tcPr>
            <w:tcW w:w="1350" w:type="dxa"/>
            <w:shd w:val="clear" w:color="auto" w:fill="auto"/>
          </w:tcPr>
          <w:p w14:paraId="2D1C856E" w14:textId="77D59E63" w:rsidR="00B042F6" w:rsidRPr="00470A87" w:rsidRDefault="00B042F6" w:rsidP="00B042F6">
            <w:r w:rsidRPr="00F74A2C">
              <w:t>May 2016-May 2018</w:t>
            </w:r>
          </w:p>
        </w:tc>
        <w:tc>
          <w:tcPr>
            <w:tcW w:w="8999" w:type="dxa"/>
            <w:shd w:val="clear" w:color="auto" w:fill="auto"/>
          </w:tcPr>
          <w:p w14:paraId="3A379378" w14:textId="592A2B28" w:rsidR="00B042F6" w:rsidRPr="00470A87" w:rsidRDefault="00B042F6" w:rsidP="00B042F6">
            <w:r w:rsidRPr="00F74A2C">
              <w:t>Post-doctoral Fellow, Metabolic Epidemiology Branch, Division of Cancer Epidemiology and Genetics (DCEG), National Cancer Institute (NCI)</w:t>
            </w:r>
          </w:p>
        </w:tc>
      </w:tr>
      <w:tr w:rsidR="00D013F8" w:rsidRPr="00A9330A" w14:paraId="3C4A4E42" w14:textId="77777777" w:rsidTr="00B042F6">
        <w:tc>
          <w:tcPr>
            <w:tcW w:w="10355" w:type="dxa"/>
            <w:gridSpan w:val="3"/>
            <w:shd w:val="clear" w:color="auto" w:fill="auto"/>
          </w:tcPr>
          <w:p w14:paraId="50E6AB66" w14:textId="4B1BB9B7" w:rsidR="00D013F8" w:rsidRPr="00E84DE3" w:rsidRDefault="005A73B9">
            <w:pPr>
              <w:spacing w:after="80"/>
              <w:rPr>
                <w:rFonts w:cs="Arial"/>
                <w:b/>
                <w:szCs w:val="22"/>
              </w:rPr>
            </w:pPr>
            <w:r>
              <w:rPr>
                <w:rFonts w:cs="Arial"/>
                <w:b/>
                <w:szCs w:val="22"/>
                <w:u w:val="single"/>
              </w:rPr>
              <w:t>Scientific Appointments</w:t>
            </w:r>
          </w:p>
        </w:tc>
      </w:tr>
      <w:tr w:rsidR="00785C12" w:rsidRPr="00A9330A" w14:paraId="330A1E88" w14:textId="77777777" w:rsidTr="00B042F6">
        <w:trPr>
          <w:gridAfter w:val="1"/>
          <w:wAfter w:w="6" w:type="dxa"/>
        </w:trPr>
        <w:tc>
          <w:tcPr>
            <w:tcW w:w="1350" w:type="dxa"/>
            <w:shd w:val="clear" w:color="auto" w:fill="auto"/>
          </w:tcPr>
          <w:p w14:paraId="09A90A87" w14:textId="55689023" w:rsidR="00785C12" w:rsidRPr="00A9330A" w:rsidRDefault="00785C12" w:rsidP="00785C12">
            <w:pPr>
              <w:rPr>
                <w:rFonts w:cs="Arial"/>
                <w:szCs w:val="22"/>
              </w:rPr>
            </w:pPr>
            <w:r w:rsidRPr="00454608">
              <w:t>2020-</w:t>
            </w:r>
          </w:p>
        </w:tc>
        <w:tc>
          <w:tcPr>
            <w:tcW w:w="8999" w:type="dxa"/>
            <w:shd w:val="clear" w:color="auto" w:fill="auto"/>
          </w:tcPr>
          <w:p w14:paraId="35059AA3" w14:textId="55F7EFDB" w:rsidR="00785C12" w:rsidRDefault="00785C12" w:rsidP="00785C12">
            <w:pPr>
              <w:rPr>
                <w:rFonts w:cs="Arial"/>
                <w:szCs w:val="22"/>
              </w:rPr>
            </w:pPr>
            <w:r w:rsidRPr="00454608">
              <w:t>Chair, Data Stewardship, Women’s Cancers Center, Huntsman Cancer Institute</w:t>
            </w:r>
          </w:p>
        </w:tc>
      </w:tr>
      <w:tr w:rsidR="00785C12" w:rsidRPr="00A9330A" w14:paraId="70F66117" w14:textId="77777777" w:rsidTr="00B042F6">
        <w:trPr>
          <w:gridAfter w:val="1"/>
          <w:wAfter w:w="6" w:type="dxa"/>
        </w:trPr>
        <w:tc>
          <w:tcPr>
            <w:tcW w:w="1350" w:type="dxa"/>
            <w:shd w:val="clear" w:color="auto" w:fill="auto"/>
          </w:tcPr>
          <w:p w14:paraId="26420D8B" w14:textId="1DEDE3D5" w:rsidR="00785C12" w:rsidRDefault="00785C12" w:rsidP="00785C12">
            <w:pPr>
              <w:rPr>
                <w:rFonts w:cs="Arial"/>
                <w:szCs w:val="22"/>
              </w:rPr>
            </w:pPr>
            <w:r w:rsidRPr="00454608">
              <w:t>2020-</w:t>
            </w:r>
          </w:p>
        </w:tc>
        <w:tc>
          <w:tcPr>
            <w:tcW w:w="8999" w:type="dxa"/>
            <w:shd w:val="clear" w:color="auto" w:fill="auto"/>
          </w:tcPr>
          <w:p w14:paraId="4F0E4192" w14:textId="1A76DEBB" w:rsidR="00785C12" w:rsidRDefault="00785C12" w:rsidP="00785C12">
            <w:pPr>
              <w:rPr>
                <w:rFonts w:cs="Arial"/>
                <w:szCs w:val="22"/>
              </w:rPr>
            </w:pPr>
            <w:r w:rsidRPr="00454608">
              <w:t>Member, Women’s Cancers Center Biospecimen Committee</w:t>
            </w:r>
          </w:p>
        </w:tc>
      </w:tr>
      <w:tr w:rsidR="00785C12" w:rsidRPr="00A9330A" w14:paraId="0FC523CF" w14:textId="77777777" w:rsidTr="00B042F6">
        <w:trPr>
          <w:gridAfter w:val="1"/>
          <w:wAfter w:w="6" w:type="dxa"/>
        </w:trPr>
        <w:tc>
          <w:tcPr>
            <w:tcW w:w="1350" w:type="dxa"/>
            <w:shd w:val="clear" w:color="auto" w:fill="auto"/>
          </w:tcPr>
          <w:p w14:paraId="36F7B481" w14:textId="2EA69BAE" w:rsidR="00785C12" w:rsidRDefault="00785C12" w:rsidP="00785C12">
            <w:pPr>
              <w:rPr>
                <w:rFonts w:cs="Arial"/>
                <w:szCs w:val="22"/>
              </w:rPr>
            </w:pPr>
            <w:r w:rsidRPr="00454608">
              <w:t>2019-</w:t>
            </w:r>
          </w:p>
        </w:tc>
        <w:tc>
          <w:tcPr>
            <w:tcW w:w="8999" w:type="dxa"/>
            <w:shd w:val="clear" w:color="auto" w:fill="auto"/>
          </w:tcPr>
          <w:p w14:paraId="57D48A29" w14:textId="05B0CF9F" w:rsidR="00785C12" w:rsidRDefault="00785C12" w:rsidP="00785C12">
            <w:pPr>
              <w:rPr>
                <w:rFonts w:cs="Arial"/>
                <w:szCs w:val="22"/>
              </w:rPr>
            </w:pPr>
            <w:r w:rsidRPr="00454608">
              <w:t>Co-Chair, ColoCare Cohort Diet Working Group</w:t>
            </w:r>
          </w:p>
        </w:tc>
      </w:tr>
      <w:tr w:rsidR="00785C12" w:rsidRPr="00A9330A" w14:paraId="75B22A4F" w14:textId="77777777" w:rsidTr="00B042F6">
        <w:trPr>
          <w:gridAfter w:val="1"/>
          <w:wAfter w:w="6" w:type="dxa"/>
        </w:trPr>
        <w:tc>
          <w:tcPr>
            <w:tcW w:w="1350" w:type="dxa"/>
            <w:shd w:val="clear" w:color="auto" w:fill="auto"/>
          </w:tcPr>
          <w:p w14:paraId="02510201" w14:textId="57047112" w:rsidR="00785C12" w:rsidRDefault="00785C12" w:rsidP="00785C12">
            <w:pPr>
              <w:rPr>
                <w:rFonts w:cs="Arial"/>
                <w:szCs w:val="22"/>
              </w:rPr>
            </w:pPr>
            <w:r w:rsidRPr="00454608">
              <w:t>2019-</w:t>
            </w:r>
          </w:p>
        </w:tc>
        <w:tc>
          <w:tcPr>
            <w:tcW w:w="8999" w:type="dxa"/>
            <w:shd w:val="clear" w:color="auto" w:fill="auto"/>
          </w:tcPr>
          <w:p w14:paraId="78C69795" w14:textId="27F16A39" w:rsidR="00785C12" w:rsidRDefault="00785C12" w:rsidP="00785C12">
            <w:pPr>
              <w:rPr>
                <w:rFonts w:cs="Arial"/>
                <w:szCs w:val="22"/>
              </w:rPr>
            </w:pPr>
            <w:r w:rsidRPr="00454608">
              <w:t>Member, Translational Research, Women’s Cancers Center, Huntsman Cancer Institute</w:t>
            </w:r>
          </w:p>
        </w:tc>
      </w:tr>
      <w:tr w:rsidR="00785C12" w:rsidRPr="00A9330A" w14:paraId="2672D8DF" w14:textId="77777777" w:rsidTr="00B042F6">
        <w:trPr>
          <w:gridAfter w:val="1"/>
          <w:wAfter w:w="6" w:type="dxa"/>
        </w:trPr>
        <w:tc>
          <w:tcPr>
            <w:tcW w:w="1350" w:type="dxa"/>
            <w:shd w:val="clear" w:color="auto" w:fill="auto"/>
          </w:tcPr>
          <w:p w14:paraId="4F0E214B" w14:textId="484ECB6B" w:rsidR="00785C12" w:rsidRDefault="00785C12" w:rsidP="00785C12">
            <w:pPr>
              <w:rPr>
                <w:rFonts w:cs="Arial"/>
                <w:szCs w:val="22"/>
              </w:rPr>
            </w:pPr>
            <w:r w:rsidRPr="00454608">
              <w:t>2018-</w:t>
            </w:r>
          </w:p>
        </w:tc>
        <w:tc>
          <w:tcPr>
            <w:tcW w:w="8999" w:type="dxa"/>
            <w:shd w:val="clear" w:color="auto" w:fill="auto"/>
          </w:tcPr>
          <w:p w14:paraId="6C20192E" w14:textId="2298AFB1" w:rsidR="00785C12" w:rsidRDefault="00785C12" w:rsidP="00785C12">
            <w:pPr>
              <w:rPr>
                <w:rFonts w:cs="Arial"/>
                <w:szCs w:val="22"/>
              </w:rPr>
            </w:pPr>
            <w:r w:rsidRPr="00454608">
              <w:t>Chair, Consortium of METabolomics Studies (COMETS) Diet Working Group</w:t>
            </w:r>
          </w:p>
        </w:tc>
      </w:tr>
      <w:tr w:rsidR="00785C12" w:rsidRPr="00A9330A" w14:paraId="04851B7F" w14:textId="77777777" w:rsidTr="00B042F6">
        <w:trPr>
          <w:gridAfter w:val="1"/>
          <w:wAfter w:w="6" w:type="dxa"/>
        </w:trPr>
        <w:tc>
          <w:tcPr>
            <w:tcW w:w="1350" w:type="dxa"/>
            <w:shd w:val="clear" w:color="auto" w:fill="auto"/>
          </w:tcPr>
          <w:p w14:paraId="78EBDD8E" w14:textId="40DD69FB" w:rsidR="00785C12" w:rsidRDefault="00785C12" w:rsidP="00785C12">
            <w:pPr>
              <w:rPr>
                <w:rFonts w:cs="Arial"/>
                <w:szCs w:val="22"/>
              </w:rPr>
            </w:pPr>
            <w:r w:rsidRPr="00454608">
              <w:t>2018</w:t>
            </w:r>
          </w:p>
        </w:tc>
        <w:tc>
          <w:tcPr>
            <w:tcW w:w="8999" w:type="dxa"/>
            <w:shd w:val="clear" w:color="auto" w:fill="auto"/>
          </w:tcPr>
          <w:p w14:paraId="0B9F9789" w14:textId="33D6F5F5" w:rsidR="00785C12" w:rsidRDefault="00785C12" w:rsidP="00785C12">
            <w:pPr>
              <w:rPr>
                <w:rFonts w:cs="Arial"/>
                <w:szCs w:val="22"/>
              </w:rPr>
            </w:pPr>
            <w:r w:rsidRPr="00454608">
              <w:t>Co-Chair, Consortium of METabolomics Studies (COMETS) Early Career Scientist working group</w:t>
            </w:r>
          </w:p>
        </w:tc>
      </w:tr>
      <w:tr w:rsidR="00785C12" w:rsidRPr="00A9330A" w14:paraId="33DD7917" w14:textId="77777777" w:rsidTr="00B042F6">
        <w:trPr>
          <w:gridAfter w:val="1"/>
          <w:wAfter w:w="6" w:type="dxa"/>
        </w:trPr>
        <w:tc>
          <w:tcPr>
            <w:tcW w:w="1350" w:type="dxa"/>
            <w:shd w:val="clear" w:color="auto" w:fill="auto"/>
          </w:tcPr>
          <w:p w14:paraId="171DDDEC" w14:textId="095E1B55" w:rsidR="00785C12" w:rsidRDefault="00785C12" w:rsidP="00785C12">
            <w:pPr>
              <w:rPr>
                <w:rFonts w:cs="Arial"/>
                <w:szCs w:val="22"/>
              </w:rPr>
            </w:pPr>
            <w:r w:rsidRPr="00454608">
              <w:t>2015-</w:t>
            </w:r>
          </w:p>
        </w:tc>
        <w:tc>
          <w:tcPr>
            <w:tcW w:w="8999" w:type="dxa"/>
            <w:shd w:val="clear" w:color="auto" w:fill="auto"/>
          </w:tcPr>
          <w:p w14:paraId="6FD75B7B" w14:textId="369337A9" w:rsidR="00785C12" w:rsidRDefault="00785C12" w:rsidP="00785C12">
            <w:pPr>
              <w:rPr>
                <w:rFonts w:cs="Arial"/>
                <w:szCs w:val="22"/>
              </w:rPr>
            </w:pPr>
            <w:r w:rsidRPr="00454608">
              <w:t>Member: Society for Epidemiologic Research (SER); Metabolomics Society; American Society of Clinical Oncology (ASCO)</w:t>
            </w:r>
          </w:p>
        </w:tc>
      </w:tr>
      <w:tr w:rsidR="00785C12" w:rsidRPr="00A9330A" w14:paraId="16F2D107" w14:textId="77777777" w:rsidTr="00B042F6">
        <w:trPr>
          <w:gridAfter w:val="1"/>
          <w:wAfter w:w="6" w:type="dxa"/>
        </w:trPr>
        <w:tc>
          <w:tcPr>
            <w:tcW w:w="1350" w:type="dxa"/>
            <w:shd w:val="clear" w:color="auto" w:fill="auto"/>
          </w:tcPr>
          <w:p w14:paraId="017C7783" w14:textId="31190268" w:rsidR="00785C12" w:rsidRDefault="00785C12" w:rsidP="00785C12">
            <w:pPr>
              <w:rPr>
                <w:rFonts w:cs="Arial"/>
                <w:szCs w:val="22"/>
              </w:rPr>
            </w:pPr>
            <w:r w:rsidRPr="00454608">
              <w:t>2015-</w:t>
            </w:r>
          </w:p>
        </w:tc>
        <w:tc>
          <w:tcPr>
            <w:tcW w:w="8999" w:type="dxa"/>
            <w:shd w:val="clear" w:color="auto" w:fill="auto"/>
          </w:tcPr>
          <w:p w14:paraId="1F017BB0" w14:textId="2C0FE175" w:rsidR="00785C12" w:rsidRDefault="00785C12" w:rsidP="00785C12">
            <w:pPr>
              <w:rPr>
                <w:rFonts w:cs="Arial"/>
                <w:szCs w:val="22"/>
              </w:rPr>
            </w:pPr>
            <w:r w:rsidRPr="00454608">
              <w:t>Member, Consortium of METabolomics Studies (COMETS) Data Harmonization and Trainee Working Groups</w:t>
            </w:r>
          </w:p>
        </w:tc>
      </w:tr>
      <w:tr w:rsidR="00785C12" w:rsidRPr="00A9330A" w14:paraId="5B4FF9CE" w14:textId="77777777" w:rsidTr="00B042F6">
        <w:trPr>
          <w:gridAfter w:val="1"/>
          <w:wAfter w:w="6" w:type="dxa"/>
        </w:trPr>
        <w:tc>
          <w:tcPr>
            <w:tcW w:w="1350" w:type="dxa"/>
            <w:shd w:val="clear" w:color="auto" w:fill="auto"/>
          </w:tcPr>
          <w:p w14:paraId="056D7029" w14:textId="23257F9E" w:rsidR="00785C12" w:rsidRDefault="00785C12" w:rsidP="00785C12">
            <w:pPr>
              <w:rPr>
                <w:rFonts w:cs="Arial"/>
                <w:szCs w:val="22"/>
              </w:rPr>
            </w:pPr>
            <w:r w:rsidRPr="00454608">
              <w:lastRenderedPageBreak/>
              <w:t>2015-</w:t>
            </w:r>
          </w:p>
        </w:tc>
        <w:tc>
          <w:tcPr>
            <w:tcW w:w="8999" w:type="dxa"/>
            <w:shd w:val="clear" w:color="auto" w:fill="auto"/>
          </w:tcPr>
          <w:p w14:paraId="52748645" w14:textId="65B67B99" w:rsidR="00785C12" w:rsidRPr="00B207B4" w:rsidRDefault="00785C12" w:rsidP="00785C12">
            <w:pPr>
              <w:rPr>
                <w:rFonts w:cs="Arial"/>
                <w:szCs w:val="22"/>
              </w:rPr>
            </w:pPr>
            <w:r w:rsidRPr="00454608">
              <w:t>Member, trans-NIH Metabolomics Working Group</w:t>
            </w:r>
          </w:p>
        </w:tc>
      </w:tr>
      <w:tr w:rsidR="00785C12" w:rsidRPr="00A9330A" w14:paraId="70ECABAE" w14:textId="77777777" w:rsidTr="00B042F6">
        <w:trPr>
          <w:gridAfter w:val="1"/>
          <w:wAfter w:w="6" w:type="dxa"/>
        </w:trPr>
        <w:tc>
          <w:tcPr>
            <w:tcW w:w="1350" w:type="dxa"/>
            <w:shd w:val="clear" w:color="auto" w:fill="auto"/>
          </w:tcPr>
          <w:p w14:paraId="5E28A6EC" w14:textId="2259CC49" w:rsidR="00785C12" w:rsidRDefault="00785C12" w:rsidP="00785C12">
            <w:pPr>
              <w:rPr>
                <w:rFonts w:cs="Arial"/>
                <w:szCs w:val="22"/>
              </w:rPr>
            </w:pPr>
            <w:r w:rsidRPr="00454608">
              <w:t>2015-</w:t>
            </w:r>
          </w:p>
        </w:tc>
        <w:tc>
          <w:tcPr>
            <w:tcW w:w="8999" w:type="dxa"/>
            <w:shd w:val="clear" w:color="auto" w:fill="auto"/>
          </w:tcPr>
          <w:p w14:paraId="5898972E" w14:textId="701508E8" w:rsidR="00785C12" w:rsidRDefault="00785C12" w:rsidP="00785C12">
            <w:pPr>
              <w:rPr>
                <w:rFonts w:cs="Arial"/>
                <w:szCs w:val="22"/>
              </w:rPr>
            </w:pPr>
            <w:r w:rsidRPr="00454608">
              <w:t>Ad Hoc Reviewer: American Journal of Epidemiology; Cancer Epidemiology, Biomarkers &amp; Prevention; Supportive Care in Cancer; European Journal of Nutrition; American Journal of Clinical Nutrition; British Journal of Nutrition; British Journal of Cancer</w:t>
            </w:r>
          </w:p>
        </w:tc>
      </w:tr>
      <w:tr w:rsidR="00785C12" w:rsidRPr="00A9330A" w14:paraId="5BDB0DB0" w14:textId="77777777" w:rsidTr="00B042F6">
        <w:trPr>
          <w:gridAfter w:val="1"/>
          <w:wAfter w:w="6" w:type="dxa"/>
        </w:trPr>
        <w:tc>
          <w:tcPr>
            <w:tcW w:w="1350" w:type="dxa"/>
            <w:shd w:val="clear" w:color="auto" w:fill="auto"/>
          </w:tcPr>
          <w:p w14:paraId="796440C5" w14:textId="72039601" w:rsidR="00785C12" w:rsidRPr="003A3DBF" w:rsidRDefault="00785C12" w:rsidP="00785C12">
            <w:r w:rsidRPr="00454608">
              <w:t>2014-2015</w:t>
            </w:r>
          </w:p>
        </w:tc>
        <w:tc>
          <w:tcPr>
            <w:tcW w:w="8999" w:type="dxa"/>
            <w:shd w:val="clear" w:color="auto" w:fill="auto"/>
          </w:tcPr>
          <w:p w14:paraId="1615C2B3" w14:textId="0E9E8998" w:rsidR="00785C12" w:rsidRPr="003A3DBF" w:rsidRDefault="00785C12" w:rsidP="00785C12">
            <w:r w:rsidRPr="00454608">
              <w:t>Co-chair, NCI DCEG Fellow’s Training Symposium</w:t>
            </w:r>
          </w:p>
        </w:tc>
      </w:tr>
      <w:tr w:rsidR="00785C12" w:rsidRPr="00A9330A" w14:paraId="74A329E1" w14:textId="77777777" w:rsidTr="00B042F6">
        <w:trPr>
          <w:gridAfter w:val="1"/>
          <w:wAfter w:w="6" w:type="dxa"/>
        </w:trPr>
        <w:tc>
          <w:tcPr>
            <w:tcW w:w="1350" w:type="dxa"/>
            <w:shd w:val="clear" w:color="auto" w:fill="auto"/>
          </w:tcPr>
          <w:p w14:paraId="7DA90FC5" w14:textId="73114EFA" w:rsidR="00785C12" w:rsidRPr="003A3DBF" w:rsidRDefault="00785C12" w:rsidP="00785C12">
            <w:r w:rsidRPr="00454608">
              <w:t>2014-</w:t>
            </w:r>
          </w:p>
        </w:tc>
        <w:tc>
          <w:tcPr>
            <w:tcW w:w="8999" w:type="dxa"/>
            <w:shd w:val="clear" w:color="auto" w:fill="auto"/>
          </w:tcPr>
          <w:p w14:paraId="59CEFBEA" w14:textId="7A0FC6F3" w:rsidR="00785C12" w:rsidRPr="003A3DBF" w:rsidRDefault="00785C12" w:rsidP="00785C12">
            <w:r w:rsidRPr="00454608">
              <w:t>Member: NCI DCEG Fellow’s Editorial Board (DFEB); NCI Metabolomics Special Interest Group; trans-NIH Metabolomics Working Group</w:t>
            </w:r>
          </w:p>
        </w:tc>
      </w:tr>
      <w:tr w:rsidR="00D013F8" w:rsidRPr="00A9330A" w14:paraId="346958EE" w14:textId="77777777" w:rsidTr="00E36D57">
        <w:trPr>
          <w:trHeight w:val="20"/>
        </w:trPr>
        <w:tc>
          <w:tcPr>
            <w:tcW w:w="10355" w:type="dxa"/>
            <w:gridSpan w:val="3"/>
            <w:shd w:val="clear" w:color="auto" w:fill="auto"/>
          </w:tcPr>
          <w:p w14:paraId="7C49C076" w14:textId="0CA38725" w:rsidR="00D013F8" w:rsidRPr="00E84DE3" w:rsidRDefault="00D013F8" w:rsidP="00923125">
            <w:pPr>
              <w:rPr>
                <w:b/>
                <w:u w:val="single"/>
              </w:rPr>
            </w:pPr>
            <w:r w:rsidRPr="004B377B">
              <w:rPr>
                <w:b/>
                <w:u w:val="single"/>
              </w:rPr>
              <w:t>Honors</w:t>
            </w:r>
          </w:p>
        </w:tc>
      </w:tr>
      <w:tr w:rsidR="00057101" w:rsidRPr="00A9330A" w14:paraId="540A131D" w14:textId="77777777" w:rsidTr="00B042F6">
        <w:trPr>
          <w:gridAfter w:val="1"/>
          <w:wAfter w:w="6" w:type="dxa"/>
        </w:trPr>
        <w:tc>
          <w:tcPr>
            <w:tcW w:w="1350" w:type="dxa"/>
            <w:shd w:val="clear" w:color="auto" w:fill="auto"/>
          </w:tcPr>
          <w:p w14:paraId="372227C4" w14:textId="3900F0B9" w:rsidR="00057101" w:rsidRPr="005D176F" w:rsidRDefault="00057101" w:rsidP="00785C12">
            <w:r>
              <w:t>2021</w:t>
            </w:r>
          </w:p>
        </w:tc>
        <w:tc>
          <w:tcPr>
            <w:tcW w:w="8999" w:type="dxa"/>
            <w:shd w:val="clear" w:color="auto" w:fill="auto"/>
          </w:tcPr>
          <w:p w14:paraId="345C4D31" w14:textId="4F9296F7" w:rsidR="00057101" w:rsidRPr="005D176F" w:rsidRDefault="00057101" w:rsidP="00785C12">
            <w:r>
              <w:t>Preceptor</w:t>
            </w:r>
            <w:r w:rsidRPr="005D176F">
              <w:t xml:space="preserve"> of the Year Award 2020, College of Health, Department of Nutrition and Integrative Physiology, University of Utah</w:t>
            </w:r>
          </w:p>
        </w:tc>
      </w:tr>
      <w:tr w:rsidR="00785C12" w:rsidRPr="00A9330A" w14:paraId="1276D4D1" w14:textId="77777777" w:rsidTr="00B042F6">
        <w:trPr>
          <w:gridAfter w:val="1"/>
          <w:wAfter w:w="6" w:type="dxa"/>
        </w:trPr>
        <w:tc>
          <w:tcPr>
            <w:tcW w:w="1350" w:type="dxa"/>
            <w:shd w:val="clear" w:color="auto" w:fill="auto"/>
          </w:tcPr>
          <w:p w14:paraId="0C55C8F6" w14:textId="120AAF77" w:rsidR="00785C12" w:rsidRDefault="00785C12" w:rsidP="00785C12">
            <w:pPr>
              <w:rPr>
                <w:rFonts w:cs="Arial"/>
                <w:szCs w:val="22"/>
              </w:rPr>
            </w:pPr>
            <w:r w:rsidRPr="005D176F">
              <w:t>2020</w:t>
            </w:r>
          </w:p>
        </w:tc>
        <w:tc>
          <w:tcPr>
            <w:tcW w:w="8999" w:type="dxa"/>
            <w:shd w:val="clear" w:color="auto" w:fill="auto"/>
          </w:tcPr>
          <w:p w14:paraId="520B3180" w14:textId="1BCC4304" w:rsidR="00785C12" w:rsidRDefault="00785C12" w:rsidP="00785C12">
            <w:pPr>
              <w:rPr>
                <w:rFonts w:cs="Arial"/>
                <w:szCs w:val="22"/>
              </w:rPr>
            </w:pPr>
            <w:r w:rsidRPr="005D176F">
              <w:t>Teacher of the Year Award 2020, College of Health, Department of Nutrition and Integrative Physiology, University of Utah</w:t>
            </w:r>
          </w:p>
        </w:tc>
      </w:tr>
      <w:tr w:rsidR="00785C12" w:rsidRPr="00A9330A" w14:paraId="5CCA2D07" w14:textId="77777777" w:rsidTr="00B042F6">
        <w:trPr>
          <w:gridAfter w:val="1"/>
          <w:wAfter w:w="6" w:type="dxa"/>
        </w:trPr>
        <w:tc>
          <w:tcPr>
            <w:tcW w:w="1350" w:type="dxa"/>
            <w:shd w:val="clear" w:color="auto" w:fill="auto"/>
          </w:tcPr>
          <w:p w14:paraId="73CF1D2E" w14:textId="06EDEA15" w:rsidR="00785C12" w:rsidRDefault="00785C12" w:rsidP="00785C12">
            <w:pPr>
              <w:rPr>
                <w:rFonts w:cs="Arial"/>
                <w:szCs w:val="22"/>
              </w:rPr>
            </w:pPr>
            <w:r w:rsidRPr="005D176F">
              <w:t>2019</w:t>
            </w:r>
          </w:p>
        </w:tc>
        <w:tc>
          <w:tcPr>
            <w:tcW w:w="8999" w:type="dxa"/>
            <w:shd w:val="clear" w:color="auto" w:fill="auto"/>
          </w:tcPr>
          <w:p w14:paraId="6B9F63F2" w14:textId="79494D70" w:rsidR="00785C12" w:rsidRDefault="00785C12" w:rsidP="00785C12">
            <w:pPr>
              <w:rPr>
                <w:rFonts w:cs="Arial"/>
                <w:szCs w:val="22"/>
              </w:rPr>
            </w:pPr>
            <w:r w:rsidRPr="005D176F">
              <w:t>Training Fellowship, Transdisciplinary Research on Energetics and Cancer (TREC), CT</w:t>
            </w:r>
          </w:p>
        </w:tc>
      </w:tr>
      <w:tr w:rsidR="00785C12" w:rsidRPr="00A9330A" w14:paraId="484556F5" w14:textId="77777777" w:rsidTr="00B042F6">
        <w:trPr>
          <w:gridAfter w:val="1"/>
          <w:wAfter w:w="6" w:type="dxa"/>
        </w:trPr>
        <w:tc>
          <w:tcPr>
            <w:tcW w:w="1350" w:type="dxa"/>
            <w:shd w:val="clear" w:color="auto" w:fill="auto"/>
          </w:tcPr>
          <w:p w14:paraId="532E57F5" w14:textId="2D4D8B9C" w:rsidR="00785C12" w:rsidRDefault="00785C12" w:rsidP="00785C12">
            <w:pPr>
              <w:rPr>
                <w:rFonts w:cs="Arial"/>
                <w:szCs w:val="22"/>
              </w:rPr>
            </w:pPr>
            <w:r w:rsidRPr="005D176F">
              <w:t>2017</w:t>
            </w:r>
          </w:p>
        </w:tc>
        <w:tc>
          <w:tcPr>
            <w:tcW w:w="8999" w:type="dxa"/>
            <w:shd w:val="clear" w:color="auto" w:fill="auto"/>
          </w:tcPr>
          <w:p w14:paraId="33F139DB" w14:textId="5BEB64D7" w:rsidR="00785C12" w:rsidRDefault="00785C12" w:rsidP="00785C12">
            <w:pPr>
              <w:rPr>
                <w:rFonts w:cs="Arial"/>
                <w:szCs w:val="22"/>
              </w:rPr>
            </w:pPr>
            <w:r w:rsidRPr="005D176F">
              <w:t>Division of Cancer Epidemiology and Genetics Fellowship Achievement Award, NIH, NCI, DCEG</w:t>
            </w:r>
          </w:p>
        </w:tc>
      </w:tr>
      <w:tr w:rsidR="00785C12" w:rsidRPr="00A9330A" w14:paraId="0F5A540C" w14:textId="77777777" w:rsidTr="00B042F6">
        <w:trPr>
          <w:gridAfter w:val="1"/>
          <w:wAfter w:w="6" w:type="dxa"/>
        </w:trPr>
        <w:tc>
          <w:tcPr>
            <w:tcW w:w="1350" w:type="dxa"/>
            <w:shd w:val="clear" w:color="auto" w:fill="auto"/>
          </w:tcPr>
          <w:p w14:paraId="2725CB06" w14:textId="3FEBF659" w:rsidR="00785C12" w:rsidRDefault="00785C12" w:rsidP="00785C12">
            <w:pPr>
              <w:rPr>
                <w:rFonts w:cs="Arial"/>
                <w:szCs w:val="22"/>
              </w:rPr>
            </w:pPr>
            <w:r w:rsidRPr="005D176F">
              <w:t>2016</w:t>
            </w:r>
          </w:p>
        </w:tc>
        <w:tc>
          <w:tcPr>
            <w:tcW w:w="8999" w:type="dxa"/>
            <w:shd w:val="clear" w:color="auto" w:fill="auto"/>
          </w:tcPr>
          <w:p w14:paraId="6FEA6CBC" w14:textId="452604D4" w:rsidR="00785C12" w:rsidRDefault="00785C12" w:rsidP="00785C12">
            <w:pPr>
              <w:rPr>
                <w:rFonts w:cs="Arial"/>
                <w:szCs w:val="22"/>
              </w:rPr>
            </w:pPr>
            <w:r w:rsidRPr="005D176F">
              <w:t>Division of Cancer Epidemiology and Genetics Fellows Award for Research Excellence, NIH, NCI, DCEG</w:t>
            </w:r>
          </w:p>
        </w:tc>
      </w:tr>
      <w:tr w:rsidR="00785C12" w:rsidRPr="00A9330A" w14:paraId="3E409287" w14:textId="77777777" w:rsidTr="00B042F6">
        <w:trPr>
          <w:gridAfter w:val="1"/>
          <w:wAfter w:w="6" w:type="dxa"/>
        </w:trPr>
        <w:tc>
          <w:tcPr>
            <w:tcW w:w="1350" w:type="dxa"/>
            <w:shd w:val="clear" w:color="auto" w:fill="auto"/>
          </w:tcPr>
          <w:p w14:paraId="17570BA1" w14:textId="7347DA59" w:rsidR="00785C12" w:rsidRDefault="00785C12" w:rsidP="00785C12">
            <w:pPr>
              <w:rPr>
                <w:rFonts w:cs="Arial"/>
                <w:szCs w:val="22"/>
              </w:rPr>
            </w:pPr>
            <w:r w:rsidRPr="005D176F">
              <w:t>2015</w:t>
            </w:r>
          </w:p>
        </w:tc>
        <w:tc>
          <w:tcPr>
            <w:tcW w:w="8999" w:type="dxa"/>
            <w:shd w:val="clear" w:color="auto" w:fill="auto"/>
          </w:tcPr>
          <w:p w14:paraId="0165ECF8" w14:textId="0DD36F8F" w:rsidR="00785C12" w:rsidRDefault="00785C12" w:rsidP="00785C12">
            <w:pPr>
              <w:rPr>
                <w:rFonts w:cs="Arial"/>
                <w:szCs w:val="22"/>
              </w:rPr>
            </w:pPr>
            <w:r w:rsidRPr="005D176F">
              <w:t>Student Workshop Award, 2015 Society for Epidemiologic Research (SER)</w:t>
            </w:r>
          </w:p>
        </w:tc>
      </w:tr>
      <w:tr w:rsidR="00785C12" w:rsidRPr="00A9330A" w14:paraId="3C72A49B" w14:textId="77777777" w:rsidTr="00B042F6">
        <w:trPr>
          <w:gridAfter w:val="1"/>
          <w:wAfter w:w="6" w:type="dxa"/>
        </w:trPr>
        <w:tc>
          <w:tcPr>
            <w:tcW w:w="1350" w:type="dxa"/>
            <w:shd w:val="clear" w:color="auto" w:fill="auto"/>
          </w:tcPr>
          <w:p w14:paraId="4E4213DE" w14:textId="4EBCCFFB" w:rsidR="00785C12" w:rsidRDefault="00785C12" w:rsidP="00785C12">
            <w:pPr>
              <w:rPr>
                <w:rFonts w:cs="Arial"/>
                <w:szCs w:val="22"/>
              </w:rPr>
            </w:pPr>
            <w:r w:rsidRPr="005D176F">
              <w:t>2013</w:t>
            </w:r>
          </w:p>
        </w:tc>
        <w:tc>
          <w:tcPr>
            <w:tcW w:w="8999" w:type="dxa"/>
            <w:shd w:val="clear" w:color="auto" w:fill="auto"/>
          </w:tcPr>
          <w:p w14:paraId="5801143F" w14:textId="23F8C484" w:rsidR="00785C12" w:rsidRDefault="00785C12" w:rsidP="00785C12">
            <w:r w:rsidRPr="005D176F">
              <w:t>Travel Award, Mary Frances Picciano Dietary Supplement Research Practicum</w:t>
            </w:r>
          </w:p>
        </w:tc>
      </w:tr>
      <w:tr w:rsidR="00785C12" w:rsidRPr="00A9330A" w14:paraId="6D629E8D" w14:textId="77777777" w:rsidTr="00B042F6">
        <w:trPr>
          <w:gridAfter w:val="1"/>
          <w:wAfter w:w="6" w:type="dxa"/>
        </w:trPr>
        <w:tc>
          <w:tcPr>
            <w:tcW w:w="1350" w:type="dxa"/>
            <w:shd w:val="clear" w:color="auto" w:fill="auto"/>
          </w:tcPr>
          <w:p w14:paraId="0473C1E6" w14:textId="6CB5EF2C" w:rsidR="00785C12" w:rsidRDefault="00785C12" w:rsidP="00785C12">
            <w:pPr>
              <w:rPr>
                <w:rFonts w:cs="Arial"/>
                <w:szCs w:val="22"/>
              </w:rPr>
            </w:pPr>
            <w:r w:rsidRPr="005D176F">
              <w:t>2013</w:t>
            </w:r>
          </w:p>
        </w:tc>
        <w:tc>
          <w:tcPr>
            <w:tcW w:w="8999" w:type="dxa"/>
            <w:shd w:val="clear" w:color="auto" w:fill="auto"/>
          </w:tcPr>
          <w:p w14:paraId="67E23D9D" w14:textId="5419E41F" w:rsidR="00785C12" w:rsidRDefault="00785C12" w:rsidP="00785C12">
            <w:r w:rsidRPr="005D176F">
              <w:t>Special Speaker Honorarium, Academy of Nutrition and Dietetics (AND) Food and Nutrition Conference Expo (FNCE)</w:t>
            </w:r>
          </w:p>
        </w:tc>
      </w:tr>
      <w:tr w:rsidR="00785C12" w:rsidRPr="00A9330A" w14:paraId="4DC0354B" w14:textId="77777777" w:rsidTr="00B042F6">
        <w:trPr>
          <w:gridAfter w:val="1"/>
          <w:wAfter w:w="6" w:type="dxa"/>
        </w:trPr>
        <w:tc>
          <w:tcPr>
            <w:tcW w:w="1350" w:type="dxa"/>
            <w:shd w:val="clear" w:color="auto" w:fill="auto"/>
          </w:tcPr>
          <w:p w14:paraId="132D12D2" w14:textId="4C4F6E36" w:rsidR="00785C12" w:rsidRDefault="00785C12" w:rsidP="00785C12">
            <w:pPr>
              <w:rPr>
                <w:rFonts w:cs="Arial"/>
                <w:szCs w:val="22"/>
              </w:rPr>
            </w:pPr>
            <w:r w:rsidRPr="005D176F">
              <w:t>2013</w:t>
            </w:r>
          </w:p>
        </w:tc>
        <w:tc>
          <w:tcPr>
            <w:tcW w:w="8999" w:type="dxa"/>
            <w:shd w:val="clear" w:color="auto" w:fill="auto"/>
          </w:tcPr>
          <w:p w14:paraId="4337C653" w14:textId="2CC8C270" w:rsidR="00785C12" w:rsidRDefault="00785C12" w:rsidP="00785C12">
            <w:r w:rsidRPr="005D176F">
              <w:t>Conference Scholarship, American Institute for Cancer Research (AICR) Annual Conference</w:t>
            </w:r>
          </w:p>
        </w:tc>
      </w:tr>
      <w:tr w:rsidR="00785C12" w:rsidRPr="00A9330A" w14:paraId="4AAC8EF2" w14:textId="77777777" w:rsidTr="00B042F6">
        <w:trPr>
          <w:gridAfter w:val="1"/>
          <w:wAfter w:w="6" w:type="dxa"/>
        </w:trPr>
        <w:tc>
          <w:tcPr>
            <w:tcW w:w="1350" w:type="dxa"/>
            <w:shd w:val="clear" w:color="auto" w:fill="auto"/>
          </w:tcPr>
          <w:p w14:paraId="47FFBFB7" w14:textId="285782A7" w:rsidR="00785C12" w:rsidRPr="005D176F" w:rsidRDefault="00785C12" w:rsidP="00785C12">
            <w:r w:rsidRPr="005D176F">
              <w:t>2012-2016</w:t>
            </w:r>
          </w:p>
        </w:tc>
        <w:tc>
          <w:tcPr>
            <w:tcW w:w="8999" w:type="dxa"/>
            <w:shd w:val="clear" w:color="auto" w:fill="auto"/>
          </w:tcPr>
          <w:p w14:paraId="396AA0EE" w14:textId="403C188F" w:rsidR="00785C12" w:rsidRPr="005D176F" w:rsidRDefault="00785C12" w:rsidP="00785C12">
            <w:r w:rsidRPr="005D176F">
              <w:t>T32/CRTA Cancer Prevention Training Award, Yale/NCI partnership training program</w:t>
            </w:r>
          </w:p>
        </w:tc>
      </w:tr>
    </w:tbl>
    <w:p w14:paraId="155C1D33" w14:textId="77777777" w:rsidR="00681554" w:rsidRPr="00303F2F" w:rsidRDefault="00681554" w:rsidP="002C51BC">
      <w:pPr>
        <w:pStyle w:val="DataField11pt-Single"/>
        <w:rPr>
          <w:rStyle w:val="Strong"/>
          <w:sz w:val="10"/>
          <w:szCs w:val="10"/>
        </w:rPr>
      </w:pPr>
    </w:p>
    <w:p w14:paraId="400D96AB" w14:textId="6F5A6320" w:rsidR="00D013F8" w:rsidRDefault="002C51BC" w:rsidP="00CB12A7">
      <w:pPr>
        <w:pStyle w:val="BodyTextIndent"/>
        <w:tabs>
          <w:tab w:val="left" w:pos="360"/>
          <w:tab w:val="left" w:pos="720"/>
        </w:tabs>
        <w:autoSpaceDE/>
        <w:autoSpaceDN/>
        <w:spacing w:after="120"/>
        <w:ind w:left="0"/>
        <w:jc w:val="left"/>
        <w:rPr>
          <w:rStyle w:val="Strong"/>
          <w:color w:val="auto"/>
          <w:sz w:val="22"/>
        </w:rPr>
      </w:pPr>
      <w:r w:rsidRPr="00D013F8">
        <w:rPr>
          <w:rStyle w:val="Strong"/>
          <w:color w:val="auto"/>
          <w:sz w:val="22"/>
        </w:rPr>
        <w:t>C.</w:t>
      </w:r>
      <w:r w:rsidR="00C47775">
        <w:rPr>
          <w:rStyle w:val="Strong"/>
          <w:color w:val="auto"/>
          <w:sz w:val="22"/>
        </w:rPr>
        <w:t xml:space="preserve"> </w:t>
      </w:r>
      <w:r w:rsidRPr="00D013F8">
        <w:rPr>
          <w:rStyle w:val="Strong"/>
          <w:color w:val="auto"/>
          <w:sz w:val="22"/>
        </w:rPr>
        <w:t>Contributions to Science</w:t>
      </w:r>
    </w:p>
    <w:p w14:paraId="276B5918" w14:textId="4C9E73AD" w:rsidR="005C5B7E" w:rsidRPr="00303F2F" w:rsidRDefault="004D3B6E" w:rsidP="00454390">
      <w:pPr>
        <w:pStyle w:val="ListParagraph"/>
        <w:tabs>
          <w:tab w:val="left" w:pos="0"/>
        </w:tabs>
        <w:autoSpaceDE/>
        <w:autoSpaceDN/>
        <w:spacing w:after="120"/>
        <w:ind w:left="0"/>
        <w:rPr>
          <w:color w:val="000000" w:themeColor="text1"/>
          <w:szCs w:val="22"/>
        </w:rPr>
      </w:pPr>
      <w:r>
        <w:rPr>
          <w:rFonts w:cs="Arial"/>
          <w:b/>
          <w:szCs w:val="22"/>
        </w:rPr>
        <w:t>1</w:t>
      </w:r>
      <w:r w:rsidR="00C47775">
        <w:rPr>
          <w:rFonts w:cs="Arial"/>
          <w:b/>
          <w:szCs w:val="22"/>
        </w:rPr>
        <w:t xml:space="preserve">. </w:t>
      </w:r>
      <w:r w:rsidR="00C47775" w:rsidRPr="000F4D7C">
        <w:rPr>
          <w:rFonts w:cs="Arial"/>
          <w:b/>
          <w:szCs w:val="22"/>
        </w:rPr>
        <w:t>Energy Balance and Breast Cancer</w:t>
      </w:r>
      <w:r w:rsidR="00C47775">
        <w:rPr>
          <w:rFonts w:cs="Arial"/>
          <w:b/>
          <w:szCs w:val="22"/>
        </w:rPr>
        <w:t>:</w:t>
      </w:r>
      <w:r w:rsidR="00666195" w:rsidRPr="00666195">
        <w:t xml:space="preserve"> </w:t>
      </w:r>
      <w:r w:rsidR="00666195" w:rsidRPr="00303F2F">
        <w:rPr>
          <w:rFonts w:cs="Arial"/>
          <w:szCs w:val="22"/>
        </w:rPr>
        <w:t>Excess adiposity is a convincing risk factor for postmenopausal breast cancer and is associated with poor prognosis. I have explored how changes in body weight and adiposity associate with prognostic biomarkers among cancer survivors and provided evidence for the efficacy and effectiveness of weight loss intervention in this population. This research encompassed two large weight loss intervention trials among breast cancer survivors: (1) comparing low fat/low carbohydrate dietary patterns and (2) telephone versus in-person counselling. Since these weight loss studies were some of the first to be conducted among breast cancer survivors, this work laid the foundation for current recommendations that breast cancer survivors manage their body weight to improve clinical outcomes. The first study showed that statistically significant and clinically meaningful weight loss was achievable using either a low fat or low carbohydrate dietary pattern</w:t>
      </w:r>
      <w:r w:rsidR="00097328">
        <w:rPr>
          <w:rFonts w:cs="Arial"/>
          <w:szCs w:val="22"/>
        </w:rPr>
        <w:t>.</w:t>
      </w:r>
      <w:r w:rsidR="00666195" w:rsidRPr="00303F2F">
        <w:rPr>
          <w:rFonts w:cs="Arial"/>
          <w:szCs w:val="22"/>
        </w:rPr>
        <w:t xml:space="preserve"> The magnitude and time to maximal weight loss was not modified by diet composition. Weight loss improved blood lipid profile irrespective of diet, and leptin, but not adiponectin, was associated with fat mass</w:t>
      </w:r>
      <w:r w:rsidR="005C5B7E">
        <w:rPr>
          <w:rFonts w:cs="Arial"/>
          <w:szCs w:val="22"/>
        </w:rPr>
        <w:t xml:space="preserve"> </w:t>
      </w:r>
      <w:r w:rsidR="005C5B7E">
        <w:rPr>
          <w:rFonts w:cs="Arial"/>
          <w:b/>
          <w:szCs w:val="22"/>
        </w:rPr>
        <w:t>[a]</w:t>
      </w:r>
      <w:r w:rsidR="005C5B7E">
        <w:rPr>
          <w:rFonts w:cs="Arial"/>
          <w:szCs w:val="22"/>
        </w:rPr>
        <w:t>.</w:t>
      </w:r>
      <w:r w:rsidR="00666195" w:rsidRPr="00303F2F">
        <w:rPr>
          <w:rFonts w:cs="Arial"/>
          <w:szCs w:val="22"/>
        </w:rPr>
        <w:t xml:space="preserve"> </w:t>
      </w:r>
      <w:r w:rsidR="005C5B7E" w:rsidRPr="005C5B7E">
        <w:rPr>
          <w:rFonts w:cs="Arial"/>
          <w:szCs w:val="22"/>
        </w:rPr>
        <w:t>In the second study, both in-person and telephone counseling were effective weight loss strategies, including favorable effects on prognostic biomarkers such as C-reactive protein</w:t>
      </w:r>
      <w:r w:rsidR="005C5B7E">
        <w:rPr>
          <w:rFonts w:cs="Arial"/>
          <w:szCs w:val="22"/>
        </w:rPr>
        <w:t xml:space="preserve"> </w:t>
      </w:r>
      <w:r w:rsidR="005C5B7E">
        <w:rPr>
          <w:rFonts w:cs="Arial"/>
          <w:b/>
          <w:szCs w:val="22"/>
        </w:rPr>
        <w:t>[b]</w:t>
      </w:r>
      <w:r w:rsidR="005C5B7E" w:rsidRPr="005C5B7E">
        <w:rPr>
          <w:rFonts w:cs="Arial"/>
          <w:szCs w:val="22"/>
        </w:rPr>
        <w:t xml:space="preserve">. </w:t>
      </w:r>
      <w:r w:rsidR="0096482E">
        <w:rPr>
          <w:color w:val="000000" w:themeColor="text1"/>
          <w:szCs w:val="22"/>
        </w:rPr>
        <w:t>In addition</w:t>
      </w:r>
      <w:r w:rsidR="0096482E" w:rsidRPr="00666195">
        <w:rPr>
          <w:color w:val="000000" w:themeColor="text1"/>
          <w:szCs w:val="22"/>
        </w:rPr>
        <w:t>, I conducted two systematic reviews of weight loss interventions among breast cancer survivors, and alternately weight gain and its impact on mortality in this population. These studies support that weight management is critical for breast cancer prognosis, and weight loss interventions are, indeed, feasible for breast cancer survivors</w:t>
      </w:r>
      <w:r w:rsidR="0096482E">
        <w:rPr>
          <w:color w:val="000000" w:themeColor="text1"/>
          <w:szCs w:val="22"/>
        </w:rPr>
        <w:t xml:space="preserve"> </w:t>
      </w:r>
      <w:r w:rsidR="0096482E">
        <w:rPr>
          <w:b/>
          <w:color w:val="000000" w:themeColor="text1"/>
          <w:szCs w:val="22"/>
        </w:rPr>
        <w:t>[c,</w:t>
      </w:r>
      <w:r w:rsidR="00097328">
        <w:rPr>
          <w:b/>
          <w:color w:val="000000" w:themeColor="text1"/>
          <w:szCs w:val="22"/>
        </w:rPr>
        <w:t xml:space="preserve"> </w:t>
      </w:r>
      <w:r w:rsidR="0096482E">
        <w:rPr>
          <w:b/>
          <w:color w:val="000000" w:themeColor="text1"/>
          <w:szCs w:val="22"/>
        </w:rPr>
        <w:t>d]</w:t>
      </w:r>
      <w:r w:rsidR="0096482E" w:rsidRPr="00666195">
        <w:rPr>
          <w:color w:val="000000" w:themeColor="text1"/>
          <w:szCs w:val="22"/>
        </w:rPr>
        <w:t>.</w:t>
      </w:r>
      <w:r w:rsidR="00105614">
        <w:rPr>
          <w:color w:val="000000" w:themeColor="text1"/>
          <w:szCs w:val="22"/>
        </w:rPr>
        <w:t xml:space="preserve"> Current clinical recommendations now align with the results of these studies, whereby breast cancer patients are recommended to achieve and maintain a body mass in the healthy range.</w:t>
      </w:r>
    </w:p>
    <w:p w14:paraId="4CD6804E" w14:textId="3362268D" w:rsidR="005C5B7E" w:rsidRDefault="005C5B7E" w:rsidP="00CB12A7">
      <w:pPr>
        <w:pStyle w:val="ListParagraph"/>
        <w:numPr>
          <w:ilvl w:val="0"/>
          <w:numId w:val="44"/>
        </w:numPr>
        <w:tabs>
          <w:tab w:val="left" w:pos="0"/>
        </w:tabs>
        <w:autoSpaceDE/>
        <w:autoSpaceDN/>
        <w:spacing w:after="120"/>
        <w:rPr>
          <w:rFonts w:cs="Arial"/>
          <w:szCs w:val="22"/>
        </w:rPr>
      </w:pPr>
      <w:r w:rsidRPr="009E2B7D">
        <w:rPr>
          <w:rFonts w:cs="Arial"/>
          <w:noProof/>
          <w:szCs w:val="22"/>
        </w:rPr>
        <w:t xml:space="preserve">Thompson HJ, Sedlacek SM, </w:t>
      </w:r>
      <w:r w:rsidRPr="009E2B7D">
        <w:rPr>
          <w:rFonts w:cs="Arial"/>
          <w:b/>
          <w:noProof/>
          <w:szCs w:val="22"/>
        </w:rPr>
        <w:t>Playdon MC</w:t>
      </w:r>
      <w:r w:rsidRPr="009E2B7D">
        <w:rPr>
          <w:rFonts w:cs="Arial"/>
          <w:noProof/>
          <w:szCs w:val="22"/>
        </w:rPr>
        <w:t>, Wolfe P, McGinley JN, Paul D et al. Weight loss interventions</w:t>
      </w:r>
    </w:p>
    <w:p w14:paraId="4474A836" w14:textId="4B9B78A8" w:rsidR="004C60B5" w:rsidRPr="00CB12A7" w:rsidRDefault="00C47775" w:rsidP="005F4F30">
      <w:pPr>
        <w:pStyle w:val="ListParagraph"/>
        <w:tabs>
          <w:tab w:val="left" w:pos="0"/>
        </w:tabs>
        <w:autoSpaceDE/>
        <w:autoSpaceDN/>
        <w:spacing w:after="120"/>
        <w:ind w:left="360"/>
        <w:rPr>
          <w:rFonts w:cs="Arial"/>
          <w:noProof/>
          <w:szCs w:val="22"/>
        </w:rPr>
      </w:pPr>
      <w:r w:rsidRPr="009E2B7D">
        <w:rPr>
          <w:rFonts w:cs="Arial"/>
          <w:noProof/>
          <w:szCs w:val="22"/>
        </w:rPr>
        <w:t>f</w:t>
      </w:r>
      <w:r w:rsidR="005C5B7E" w:rsidRPr="009E2B7D">
        <w:rPr>
          <w:rFonts w:cs="Arial"/>
          <w:noProof/>
          <w:szCs w:val="22"/>
        </w:rPr>
        <w:t xml:space="preserve">or breast cancer survivors: impact of dietary pattern. </w:t>
      </w:r>
      <w:r w:rsidR="005C5B7E" w:rsidRPr="008C7509">
        <w:rPr>
          <w:rFonts w:cs="Arial"/>
          <w:i/>
          <w:noProof/>
          <w:szCs w:val="22"/>
        </w:rPr>
        <w:t>PLoS One</w:t>
      </w:r>
      <w:r w:rsidR="005C5B7E" w:rsidRPr="009E2B7D">
        <w:rPr>
          <w:rFonts w:cs="Arial"/>
          <w:noProof/>
          <w:szCs w:val="22"/>
        </w:rPr>
        <w:t>.</w:t>
      </w:r>
      <w:r w:rsidR="005C5B7E" w:rsidRPr="005C5B7E">
        <w:rPr>
          <w:rFonts w:cs="Arial"/>
          <w:noProof/>
          <w:szCs w:val="22"/>
        </w:rPr>
        <w:t xml:space="preserve"> </w:t>
      </w:r>
      <w:r w:rsidR="005C5B7E" w:rsidRPr="009E2B7D">
        <w:rPr>
          <w:rFonts w:cs="Arial"/>
          <w:noProof/>
          <w:szCs w:val="22"/>
        </w:rPr>
        <w:t>2015;10(5):e0127366.</w:t>
      </w:r>
      <w:r w:rsidR="005C5B7E" w:rsidRPr="005C5B7E">
        <w:rPr>
          <w:rFonts w:cs="Arial"/>
          <w:noProof/>
          <w:szCs w:val="22"/>
          <w:u w:val="single"/>
        </w:rPr>
        <w:t xml:space="preserve"> </w:t>
      </w:r>
      <w:r w:rsidR="005C5B7E" w:rsidRPr="00116C7A">
        <w:rPr>
          <w:rFonts w:cs="Arial"/>
          <w:noProof/>
          <w:szCs w:val="22"/>
          <w:u w:val="single"/>
        </w:rPr>
        <w:t>PMCID:</w:t>
      </w:r>
      <w:r w:rsidR="00CB12A7">
        <w:rPr>
          <w:rFonts w:cs="Arial"/>
          <w:noProof/>
          <w:szCs w:val="22"/>
        </w:rPr>
        <w:t xml:space="preserve"> </w:t>
      </w:r>
      <w:r w:rsidRPr="00303F2F">
        <w:rPr>
          <w:rFonts w:cs="Arial"/>
          <w:noProof/>
          <w:szCs w:val="22"/>
          <w:u w:val="single"/>
        </w:rPr>
        <w:t>PMC4443974</w:t>
      </w:r>
    </w:p>
    <w:p w14:paraId="0F1DE015" w14:textId="79D5D511" w:rsidR="00666195" w:rsidRDefault="00C47775" w:rsidP="00CB12A7">
      <w:pPr>
        <w:pStyle w:val="ListParagraph"/>
        <w:numPr>
          <w:ilvl w:val="0"/>
          <w:numId w:val="44"/>
        </w:numPr>
        <w:tabs>
          <w:tab w:val="left" w:pos="0"/>
        </w:tabs>
        <w:autoSpaceDE/>
        <w:autoSpaceDN/>
        <w:spacing w:after="120"/>
      </w:pPr>
      <w:r w:rsidRPr="008127E2">
        <w:t xml:space="preserve">Harrigan M, Cartmel B, Loftfield E, Sanft T, Chagpar AB, Zhou Y, </w:t>
      </w:r>
      <w:r w:rsidRPr="008127E2">
        <w:rPr>
          <w:b/>
        </w:rPr>
        <w:t>Playdon M</w:t>
      </w:r>
      <w:r w:rsidRPr="008127E2">
        <w:t xml:space="preserve">, Li F, Irwin ML. Randomized Trial Comparing Telephone Versus In-Person Weight Loss Counseling on Body Composition and </w:t>
      </w:r>
      <w:r w:rsidR="004C60B5">
        <w:tab/>
      </w:r>
      <w:r w:rsidRPr="008127E2">
        <w:t>Circulating Biomarkers in Women Treated for Breast Cancer: The Lifestyle, Exercise, and Nutr</w:t>
      </w:r>
      <w:r>
        <w:t xml:space="preserve">ition (LEAN) </w:t>
      </w:r>
      <w:r w:rsidR="004C60B5">
        <w:tab/>
      </w:r>
      <w:r>
        <w:t xml:space="preserve">Study. </w:t>
      </w:r>
      <w:r w:rsidR="004D3B6E">
        <w:rPr>
          <w:i/>
        </w:rPr>
        <w:t>J Clin Oncol.</w:t>
      </w:r>
      <w:r>
        <w:t xml:space="preserve"> 2016;</w:t>
      </w:r>
      <w:r w:rsidR="004D3B6E">
        <w:t xml:space="preserve"> </w:t>
      </w:r>
      <w:r>
        <w:t xml:space="preserve">34(7):669-76. </w:t>
      </w:r>
      <w:r w:rsidRPr="00303F2F">
        <w:rPr>
          <w:u w:val="single"/>
        </w:rPr>
        <w:t>PMCID: PMC4872022</w:t>
      </w:r>
    </w:p>
    <w:p w14:paraId="222E5E93" w14:textId="08FB8B81" w:rsidR="00666195" w:rsidRPr="00CB12A7" w:rsidRDefault="00C47775" w:rsidP="00CB12A7">
      <w:pPr>
        <w:pStyle w:val="ListParagraph"/>
        <w:numPr>
          <w:ilvl w:val="0"/>
          <w:numId w:val="44"/>
        </w:numPr>
        <w:tabs>
          <w:tab w:val="left" w:pos="0"/>
        </w:tabs>
        <w:autoSpaceDE/>
        <w:autoSpaceDN/>
        <w:spacing w:after="120"/>
      </w:pPr>
      <w:r w:rsidRPr="008127E2">
        <w:rPr>
          <w:b/>
        </w:rPr>
        <w:t>Playdon MC</w:t>
      </w:r>
      <w:r w:rsidRPr="008127E2">
        <w:t xml:space="preserve">, </w:t>
      </w:r>
      <w:r>
        <w:t xml:space="preserve">Thomas G, </w:t>
      </w:r>
      <w:r w:rsidRPr="008127E2">
        <w:t>Sanft T, Harrigan M, Ligibel J, Irwin, M. Weight Loss Intervention for Breast</w:t>
      </w:r>
      <w:r w:rsidR="00CB12A7">
        <w:t xml:space="preserve"> </w:t>
      </w:r>
      <w:r w:rsidRPr="008127E2">
        <w:rPr>
          <w:color w:val="000000" w:themeColor="text1"/>
          <w:szCs w:val="22"/>
        </w:rPr>
        <w:t xml:space="preserve">Cancer Survivors: A Systematic Review. </w:t>
      </w:r>
      <w:r w:rsidRPr="00303F2F">
        <w:rPr>
          <w:i/>
          <w:color w:val="000000" w:themeColor="text1"/>
          <w:szCs w:val="22"/>
        </w:rPr>
        <w:t>Curr Breast Cancer Rep.</w:t>
      </w:r>
      <w:r w:rsidRPr="008127E2">
        <w:rPr>
          <w:color w:val="000000" w:themeColor="text1"/>
          <w:szCs w:val="22"/>
        </w:rPr>
        <w:t xml:space="preserve"> 2013;</w:t>
      </w:r>
      <w:r>
        <w:rPr>
          <w:color w:val="000000" w:themeColor="text1"/>
          <w:szCs w:val="22"/>
        </w:rPr>
        <w:t xml:space="preserve"> </w:t>
      </w:r>
      <w:r w:rsidRPr="008127E2">
        <w:rPr>
          <w:color w:val="000000" w:themeColor="text1"/>
          <w:szCs w:val="22"/>
        </w:rPr>
        <w:t>5:222-46.</w:t>
      </w:r>
      <w:r>
        <w:rPr>
          <w:color w:val="000000" w:themeColor="text1"/>
          <w:szCs w:val="22"/>
        </w:rPr>
        <w:t xml:space="preserve"> </w:t>
      </w:r>
      <w:r w:rsidR="004D3B6E">
        <w:rPr>
          <w:color w:val="000000" w:themeColor="text1"/>
          <w:szCs w:val="22"/>
          <w:u w:val="single"/>
        </w:rPr>
        <w:t xml:space="preserve">PMCID: </w:t>
      </w:r>
      <w:r w:rsidRPr="00303F2F">
        <w:rPr>
          <w:color w:val="000000" w:themeColor="text1"/>
          <w:szCs w:val="22"/>
          <w:u w:val="single"/>
        </w:rPr>
        <w:t>PMC4655116</w:t>
      </w:r>
    </w:p>
    <w:p w14:paraId="26A406D1" w14:textId="3C3127AF" w:rsidR="00C47775" w:rsidRPr="00303F2F" w:rsidRDefault="00C47775" w:rsidP="00CB12A7">
      <w:pPr>
        <w:pStyle w:val="BodyTextIndent"/>
        <w:numPr>
          <w:ilvl w:val="0"/>
          <w:numId w:val="44"/>
        </w:numPr>
        <w:tabs>
          <w:tab w:val="left" w:pos="0"/>
          <w:tab w:val="left" w:pos="1080"/>
        </w:tabs>
        <w:autoSpaceDE/>
        <w:autoSpaceDN/>
        <w:spacing w:after="120"/>
        <w:jc w:val="left"/>
        <w:rPr>
          <w:noProof/>
          <w:color w:val="000000" w:themeColor="text1"/>
          <w:sz w:val="22"/>
          <w:szCs w:val="22"/>
        </w:rPr>
      </w:pPr>
      <w:r w:rsidRPr="008127E2">
        <w:rPr>
          <w:b/>
          <w:noProof/>
          <w:color w:val="000000" w:themeColor="text1"/>
          <w:sz w:val="22"/>
          <w:szCs w:val="22"/>
        </w:rPr>
        <w:t>Playdon MC</w:t>
      </w:r>
      <w:r w:rsidRPr="008127E2">
        <w:rPr>
          <w:noProof/>
          <w:color w:val="000000" w:themeColor="text1"/>
          <w:sz w:val="22"/>
          <w:szCs w:val="22"/>
        </w:rPr>
        <w:t xml:space="preserve">, Bracken MB, Sanft TB, Ligibel JA, Harrigan M, Irwin ML. </w:t>
      </w:r>
      <w:r w:rsidR="00CB12A7">
        <w:rPr>
          <w:noProof/>
          <w:color w:val="000000" w:themeColor="text1"/>
          <w:sz w:val="22"/>
          <w:szCs w:val="22"/>
        </w:rPr>
        <w:t xml:space="preserve">Weight Gain After Breast Cancer </w:t>
      </w:r>
      <w:r w:rsidRPr="008127E2">
        <w:rPr>
          <w:noProof/>
          <w:color w:val="000000" w:themeColor="text1"/>
          <w:sz w:val="22"/>
          <w:szCs w:val="22"/>
        </w:rPr>
        <w:t>Diagnosis and All-Cause Mortality: Systematic Review and Meta-Analysis</w:t>
      </w:r>
      <w:r w:rsidR="004D3B6E">
        <w:rPr>
          <w:noProof/>
          <w:color w:val="000000" w:themeColor="text1"/>
          <w:sz w:val="22"/>
          <w:szCs w:val="22"/>
        </w:rPr>
        <w:t xml:space="preserve">. </w:t>
      </w:r>
      <w:r w:rsidR="004D3B6E">
        <w:rPr>
          <w:i/>
          <w:noProof/>
          <w:color w:val="000000" w:themeColor="text1"/>
          <w:sz w:val="22"/>
          <w:szCs w:val="22"/>
        </w:rPr>
        <w:t>J Natl Cancer Inst.</w:t>
      </w:r>
      <w:r w:rsidR="004D3B6E">
        <w:rPr>
          <w:noProof/>
          <w:color w:val="000000" w:themeColor="text1"/>
          <w:sz w:val="22"/>
          <w:szCs w:val="22"/>
        </w:rPr>
        <w:t xml:space="preserve"> </w:t>
      </w:r>
      <w:r w:rsidRPr="008127E2">
        <w:rPr>
          <w:noProof/>
          <w:color w:val="000000" w:themeColor="text1"/>
          <w:sz w:val="22"/>
          <w:szCs w:val="22"/>
        </w:rPr>
        <w:t>2015;107(12)</w:t>
      </w:r>
      <w:r w:rsidR="004D3B6E">
        <w:rPr>
          <w:noProof/>
          <w:color w:val="000000" w:themeColor="text1"/>
          <w:sz w:val="22"/>
          <w:szCs w:val="22"/>
        </w:rPr>
        <w:t>:</w:t>
      </w:r>
      <w:r w:rsidRPr="008127E2">
        <w:rPr>
          <w:noProof/>
          <w:color w:val="000000" w:themeColor="text1"/>
          <w:sz w:val="22"/>
          <w:szCs w:val="22"/>
        </w:rPr>
        <w:t xml:space="preserve"> </w:t>
      </w:r>
      <w:r w:rsidRPr="00B64B3B">
        <w:rPr>
          <w:noProof/>
          <w:color w:val="000000" w:themeColor="text1"/>
          <w:sz w:val="22"/>
          <w:szCs w:val="22"/>
        </w:rPr>
        <w:t>djv275</w:t>
      </w:r>
      <w:r w:rsidR="004D3B6E">
        <w:rPr>
          <w:noProof/>
          <w:color w:val="000000" w:themeColor="text1"/>
          <w:sz w:val="22"/>
          <w:szCs w:val="22"/>
        </w:rPr>
        <w:t xml:space="preserve">. </w:t>
      </w:r>
      <w:r w:rsidRPr="00303F2F">
        <w:rPr>
          <w:noProof/>
          <w:color w:val="000000" w:themeColor="text1"/>
          <w:sz w:val="22"/>
          <w:szCs w:val="22"/>
          <w:u w:val="single"/>
        </w:rPr>
        <w:t>PMCID: PMC4715249</w:t>
      </w:r>
    </w:p>
    <w:p w14:paraId="15687A68" w14:textId="05A445F1" w:rsidR="00666195" w:rsidRPr="00303F2F" w:rsidRDefault="004D3B6E" w:rsidP="00CB12A7">
      <w:pPr>
        <w:pStyle w:val="BodyTextIndent"/>
        <w:tabs>
          <w:tab w:val="left" w:pos="0"/>
          <w:tab w:val="left" w:pos="270"/>
          <w:tab w:val="left" w:pos="720"/>
        </w:tabs>
        <w:autoSpaceDE/>
        <w:autoSpaceDN/>
        <w:spacing w:after="120"/>
        <w:ind w:left="0"/>
        <w:jc w:val="left"/>
        <w:rPr>
          <w:color w:val="auto"/>
          <w:sz w:val="22"/>
          <w:szCs w:val="22"/>
        </w:rPr>
      </w:pPr>
      <w:r>
        <w:rPr>
          <w:b/>
          <w:color w:val="000000" w:themeColor="text1"/>
          <w:sz w:val="22"/>
          <w:szCs w:val="22"/>
        </w:rPr>
        <w:lastRenderedPageBreak/>
        <w:t>2</w:t>
      </w:r>
      <w:r w:rsidR="00D013F8">
        <w:rPr>
          <w:b/>
          <w:color w:val="000000" w:themeColor="text1"/>
          <w:sz w:val="22"/>
          <w:szCs w:val="22"/>
        </w:rPr>
        <w:t>.</w:t>
      </w:r>
      <w:r w:rsidR="00D013F8">
        <w:rPr>
          <w:b/>
          <w:color w:val="000000" w:themeColor="text1"/>
          <w:sz w:val="22"/>
          <w:szCs w:val="22"/>
        </w:rPr>
        <w:tab/>
      </w:r>
      <w:r w:rsidR="00522317" w:rsidRPr="00DA5AAC">
        <w:rPr>
          <w:b/>
          <w:color w:val="000000" w:themeColor="text1"/>
          <w:sz w:val="22"/>
          <w:szCs w:val="22"/>
        </w:rPr>
        <w:t xml:space="preserve">Nutritional </w:t>
      </w:r>
      <w:r w:rsidR="00522317">
        <w:rPr>
          <w:b/>
          <w:color w:val="000000" w:themeColor="text1"/>
          <w:sz w:val="22"/>
          <w:szCs w:val="22"/>
        </w:rPr>
        <w:t xml:space="preserve">and Cancer </w:t>
      </w:r>
      <w:r w:rsidR="00522317" w:rsidRPr="00DA5AAC">
        <w:rPr>
          <w:b/>
          <w:color w:val="000000" w:themeColor="text1"/>
          <w:sz w:val="22"/>
          <w:szCs w:val="22"/>
        </w:rPr>
        <w:t>Metabolomics</w:t>
      </w:r>
      <w:r w:rsidR="00C47775">
        <w:rPr>
          <w:b/>
          <w:color w:val="000000" w:themeColor="text1"/>
          <w:sz w:val="22"/>
          <w:szCs w:val="22"/>
        </w:rPr>
        <w:t>:</w:t>
      </w:r>
      <w:r w:rsidR="00522317">
        <w:rPr>
          <w:color w:val="000000" w:themeColor="text1"/>
          <w:sz w:val="22"/>
          <w:szCs w:val="22"/>
        </w:rPr>
        <w:t xml:space="preserve"> </w:t>
      </w:r>
      <w:r w:rsidR="005E16A5">
        <w:rPr>
          <w:color w:val="000000" w:themeColor="text1"/>
          <w:sz w:val="22"/>
          <w:szCs w:val="22"/>
        </w:rPr>
        <w:t>A large body of work has</w:t>
      </w:r>
      <w:r w:rsidR="00666195" w:rsidRPr="00666195">
        <w:rPr>
          <w:color w:val="000000" w:themeColor="text1"/>
          <w:sz w:val="22"/>
          <w:szCs w:val="22"/>
        </w:rPr>
        <w:t xml:space="preserve"> focused on identifying biomarkers of modifiable disease exposures using metabolomics and </w:t>
      </w:r>
      <w:r w:rsidR="005E16A5">
        <w:rPr>
          <w:color w:val="000000" w:themeColor="text1"/>
          <w:sz w:val="22"/>
          <w:szCs w:val="22"/>
        </w:rPr>
        <w:t>applying them to</w:t>
      </w:r>
      <w:r w:rsidR="00666195" w:rsidRPr="00666195">
        <w:rPr>
          <w:color w:val="000000" w:themeColor="text1"/>
          <w:sz w:val="22"/>
          <w:szCs w:val="22"/>
        </w:rPr>
        <w:t xml:space="preserve"> understand disease etiology. This included comparing serum and urine for their utility in identifying nutritional biomarkers in large-scale epidemiological studies, identifying nutritional biomarkers of dietary patterns, and exploring the associations between nutritional and adiposity biomarkers and breast cancer risk, </w:t>
      </w:r>
      <w:r w:rsidR="005E16A5">
        <w:rPr>
          <w:color w:val="000000" w:themeColor="text1"/>
          <w:sz w:val="22"/>
          <w:szCs w:val="22"/>
        </w:rPr>
        <w:t>and the</w:t>
      </w:r>
      <w:r w:rsidR="00666195" w:rsidRPr="00666195">
        <w:rPr>
          <w:color w:val="000000" w:themeColor="text1"/>
          <w:sz w:val="22"/>
          <w:szCs w:val="22"/>
        </w:rPr>
        <w:t xml:space="preserve"> association of BMI-related metabolites with cancer. </w:t>
      </w:r>
      <w:r w:rsidR="00105614">
        <w:rPr>
          <w:color w:val="000000" w:themeColor="text1"/>
          <w:sz w:val="22"/>
          <w:szCs w:val="22"/>
        </w:rPr>
        <w:t xml:space="preserve">I am currently completing similar analyses focused on endometrial cancer risk as part of my NCI R00 award. </w:t>
      </w:r>
      <w:r w:rsidR="00666195" w:rsidRPr="00666195">
        <w:rPr>
          <w:color w:val="000000" w:themeColor="text1"/>
          <w:sz w:val="22"/>
          <w:szCs w:val="22"/>
        </w:rPr>
        <w:t xml:space="preserve">These studies provide a foundation for the use of metabolomics in epidemiology, which is an emerging field. I have identified candidate biomarkers of specific foods, beverages, dietary supplements, and dietary patterns, including replication across diverse </w:t>
      </w:r>
      <w:r w:rsidR="005E16A5">
        <w:rPr>
          <w:color w:val="000000" w:themeColor="text1"/>
          <w:sz w:val="22"/>
          <w:szCs w:val="22"/>
        </w:rPr>
        <w:t>large-scale cohorts</w:t>
      </w:r>
      <w:r w:rsidR="0096482E">
        <w:rPr>
          <w:color w:val="000000" w:themeColor="text1"/>
          <w:sz w:val="22"/>
          <w:szCs w:val="22"/>
        </w:rPr>
        <w:t xml:space="preserve"> </w:t>
      </w:r>
      <w:r w:rsidR="0096482E" w:rsidRPr="00737A19">
        <w:rPr>
          <w:b/>
          <w:color w:val="000000" w:themeColor="text1"/>
          <w:sz w:val="22"/>
          <w:szCs w:val="22"/>
        </w:rPr>
        <w:t>[</w:t>
      </w:r>
      <w:r w:rsidR="0096482E">
        <w:rPr>
          <w:b/>
          <w:color w:val="000000" w:themeColor="text1"/>
          <w:sz w:val="22"/>
          <w:szCs w:val="22"/>
        </w:rPr>
        <w:t>a,</w:t>
      </w:r>
      <w:r w:rsidR="00097328">
        <w:rPr>
          <w:b/>
          <w:color w:val="000000" w:themeColor="text1"/>
          <w:sz w:val="22"/>
          <w:szCs w:val="22"/>
        </w:rPr>
        <w:t xml:space="preserve"> </w:t>
      </w:r>
      <w:r w:rsidR="0096482E">
        <w:rPr>
          <w:b/>
          <w:color w:val="000000" w:themeColor="text1"/>
          <w:sz w:val="22"/>
          <w:szCs w:val="22"/>
        </w:rPr>
        <w:t>b]</w:t>
      </w:r>
      <w:r w:rsidR="00666195" w:rsidRPr="00666195">
        <w:rPr>
          <w:color w:val="000000" w:themeColor="text1"/>
          <w:sz w:val="22"/>
          <w:szCs w:val="22"/>
        </w:rPr>
        <w:t>. These data have been largely replicated in a unique ancillary feeding study of habitual diet in the Women’s Health Initiative in collaboration with Dr</w:t>
      </w:r>
      <w:r w:rsidR="00105614">
        <w:rPr>
          <w:color w:val="000000" w:themeColor="text1"/>
          <w:sz w:val="22"/>
          <w:szCs w:val="22"/>
        </w:rPr>
        <w:t>s</w:t>
      </w:r>
      <w:r w:rsidR="00666195" w:rsidRPr="00666195">
        <w:rPr>
          <w:color w:val="000000" w:themeColor="text1"/>
          <w:sz w:val="22"/>
          <w:szCs w:val="22"/>
        </w:rPr>
        <w:t xml:space="preserve">. </w:t>
      </w:r>
      <w:r w:rsidR="00105614">
        <w:rPr>
          <w:color w:val="000000" w:themeColor="text1"/>
          <w:sz w:val="22"/>
          <w:szCs w:val="22"/>
        </w:rPr>
        <w:t xml:space="preserve">Marian Neuhouser and </w:t>
      </w:r>
      <w:r w:rsidR="00666195" w:rsidRPr="00666195">
        <w:rPr>
          <w:color w:val="000000" w:themeColor="text1"/>
          <w:sz w:val="22"/>
          <w:szCs w:val="22"/>
        </w:rPr>
        <w:t>Johanna Lampe (Ancillary Study AS560, In Preparation).</w:t>
      </w:r>
      <w:r w:rsidR="0096482E">
        <w:rPr>
          <w:color w:val="000000" w:themeColor="text1"/>
          <w:sz w:val="22"/>
          <w:szCs w:val="22"/>
        </w:rPr>
        <w:t xml:space="preserve"> In addition, I carried out a </w:t>
      </w:r>
      <w:r w:rsidR="0096482E" w:rsidRPr="00303F2F">
        <w:rPr>
          <w:color w:val="auto"/>
          <w:sz w:val="22"/>
          <w:szCs w:val="22"/>
        </w:rPr>
        <w:t xml:space="preserve">nested breast cancer case-control study within the Prostate, Lung, Colorectal and Ovarian Cancer cohort (PLCO) </w:t>
      </w:r>
      <w:r w:rsidR="00105614">
        <w:rPr>
          <w:color w:val="auto"/>
          <w:sz w:val="22"/>
          <w:szCs w:val="22"/>
        </w:rPr>
        <w:t xml:space="preserve">that </w:t>
      </w:r>
      <w:r w:rsidR="0096482E" w:rsidRPr="00303F2F">
        <w:rPr>
          <w:color w:val="auto"/>
          <w:sz w:val="22"/>
          <w:szCs w:val="22"/>
        </w:rPr>
        <w:t>provide</w:t>
      </w:r>
      <w:r w:rsidR="00105614">
        <w:rPr>
          <w:color w:val="auto"/>
          <w:sz w:val="22"/>
          <w:szCs w:val="22"/>
        </w:rPr>
        <w:t>d</w:t>
      </w:r>
      <w:r w:rsidR="0096482E" w:rsidRPr="00303F2F">
        <w:rPr>
          <w:color w:val="auto"/>
          <w:sz w:val="22"/>
          <w:szCs w:val="22"/>
        </w:rPr>
        <w:t xml:space="preserve"> biological evidence that diet may play a role in breast cancer etiology, particularly for estrogen-receptor positive tumors.</w:t>
      </w:r>
      <w:r w:rsidR="0096482E" w:rsidRPr="0096482E">
        <w:t xml:space="preserve"> </w:t>
      </w:r>
      <w:r w:rsidR="0096482E" w:rsidRPr="00303F2F">
        <w:rPr>
          <w:color w:val="auto"/>
          <w:sz w:val="22"/>
          <w:szCs w:val="22"/>
        </w:rPr>
        <w:t>I identified potential roles of vitamin E/tocopherol metabolism and dairy-derived saturated fatty acids in breast cancer etiology, in addition to supporting the accepted association between alcohol consumption and breast cancer risk. Androgen metabolism was implicated as a mechanism for alcohol-induced carcinogenesis. This work was some of the first of its kind and has encouraged a surge of excitement and interest in nutritional metabolomics</w:t>
      </w:r>
      <w:r w:rsidR="0096482E">
        <w:rPr>
          <w:color w:val="auto"/>
          <w:sz w:val="22"/>
          <w:szCs w:val="22"/>
        </w:rPr>
        <w:t xml:space="preserve"> </w:t>
      </w:r>
      <w:r w:rsidR="0096482E" w:rsidRPr="00737A19">
        <w:rPr>
          <w:b/>
          <w:color w:val="auto"/>
          <w:sz w:val="22"/>
          <w:szCs w:val="22"/>
        </w:rPr>
        <w:t>[</w:t>
      </w:r>
      <w:r w:rsidR="0096482E">
        <w:rPr>
          <w:b/>
          <w:color w:val="auto"/>
          <w:sz w:val="22"/>
          <w:szCs w:val="22"/>
        </w:rPr>
        <w:t>c,</w:t>
      </w:r>
      <w:r w:rsidR="00097328">
        <w:rPr>
          <w:b/>
          <w:color w:val="auto"/>
          <w:sz w:val="22"/>
          <w:szCs w:val="22"/>
        </w:rPr>
        <w:t xml:space="preserve"> </w:t>
      </w:r>
      <w:r w:rsidR="0096482E">
        <w:rPr>
          <w:b/>
          <w:color w:val="auto"/>
          <w:sz w:val="22"/>
          <w:szCs w:val="22"/>
        </w:rPr>
        <w:t>d]</w:t>
      </w:r>
      <w:r w:rsidR="0096482E" w:rsidRPr="00303F2F">
        <w:rPr>
          <w:color w:val="auto"/>
          <w:sz w:val="22"/>
          <w:szCs w:val="22"/>
        </w:rPr>
        <w:t>.</w:t>
      </w:r>
    </w:p>
    <w:p w14:paraId="774E9440" w14:textId="73E0E8E4" w:rsidR="00522317" w:rsidRPr="00D90F7D" w:rsidRDefault="00666195" w:rsidP="00CB12A7">
      <w:pPr>
        <w:pStyle w:val="BodyTextIndent"/>
        <w:tabs>
          <w:tab w:val="left" w:pos="0"/>
          <w:tab w:val="left" w:pos="270"/>
          <w:tab w:val="left" w:pos="720"/>
        </w:tabs>
        <w:autoSpaceDE/>
        <w:autoSpaceDN/>
        <w:spacing w:after="120"/>
        <w:ind w:left="0"/>
        <w:jc w:val="left"/>
        <w:rPr>
          <w:color w:val="000000" w:themeColor="text1"/>
          <w:sz w:val="22"/>
          <w:szCs w:val="22"/>
          <w:u w:val="single"/>
        </w:rPr>
      </w:pPr>
      <w:r>
        <w:rPr>
          <w:color w:val="000000" w:themeColor="text1"/>
          <w:sz w:val="22"/>
          <w:szCs w:val="22"/>
        </w:rPr>
        <w:t xml:space="preserve">a) </w:t>
      </w:r>
      <w:r w:rsidR="00522317" w:rsidRPr="00523EC2">
        <w:rPr>
          <w:b/>
          <w:color w:val="000000" w:themeColor="text1"/>
          <w:sz w:val="22"/>
          <w:szCs w:val="22"/>
        </w:rPr>
        <w:t>Playdon MC</w:t>
      </w:r>
      <w:r w:rsidR="00522317" w:rsidRPr="00523EC2">
        <w:rPr>
          <w:color w:val="000000" w:themeColor="text1"/>
          <w:sz w:val="22"/>
          <w:szCs w:val="22"/>
        </w:rPr>
        <w:t xml:space="preserve">, Sampson, JN, Cross AJ, Sinha R, Guertin KA, Moy K, Rothman N., Irwin ML, Mayne ST, </w:t>
      </w:r>
      <w:r>
        <w:rPr>
          <w:color w:val="000000" w:themeColor="text1"/>
          <w:sz w:val="22"/>
          <w:szCs w:val="22"/>
        </w:rPr>
        <w:tab/>
      </w:r>
      <w:r w:rsidR="00522317" w:rsidRPr="00523EC2">
        <w:rPr>
          <w:color w:val="000000" w:themeColor="text1"/>
          <w:sz w:val="22"/>
          <w:szCs w:val="22"/>
        </w:rPr>
        <w:t>Stolzenberg-Solomon R, Moore SC. Comparing metabolite profiles of habitual diet in serum and urine</w:t>
      </w:r>
      <w:r w:rsidR="00522317">
        <w:rPr>
          <w:color w:val="000000" w:themeColor="text1"/>
          <w:sz w:val="22"/>
          <w:szCs w:val="22"/>
        </w:rPr>
        <w:t xml:space="preserve">. </w:t>
      </w:r>
      <w:r w:rsidR="00522317" w:rsidRPr="00303F2F">
        <w:rPr>
          <w:i/>
          <w:color w:val="000000" w:themeColor="text1"/>
          <w:sz w:val="22"/>
          <w:szCs w:val="22"/>
        </w:rPr>
        <w:t xml:space="preserve">Am J </w:t>
      </w:r>
      <w:r>
        <w:rPr>
          <w:i/>
          <w:color w:val="000000" w:themeColor="text1"/>
          <w:sz w:val="22"/>
          <w:szCs w:val="22"/>
        </w:rPr>
        <w:tab/>
      </w:r>
      <w:r w:rsidR="00522317" w:rsidRPr="00303F2F">
        <w:rPr>
          <w:i/>
          <w:color w:val="000000" w:themeColor="text1"/>
          <w:sz w:val="22"/>
          <w:szCs w:val="22"/>
        </w:rPr>
        <w:t>Clin Nutr</w:t>
      </w:r>
      <w:r w:rsidR="004D3B6E">
        <w:rPr>
          <w:i/>
          <w:color w:val="000000" w:themeColor="text1"/>
          <w:sz w:val="22"/>
          <w:szCs w:val="22"/>
        </w:rPr>
        <w:t>.</w:t>
      </w:r>
      <w:r w:rsidR="00522317" w:rsidRPr="00303F2F">
        <w:rPr>
          <w:i/>
          <w:color w:val="000000" w:themeColor="text1"/>
          <w:sz w:val="22"/>
          <w:szCs w:val="22"/>
        </w:rPr>
        <w:t xml:space="preserve"> </w:t>
      </w:r>
      <w:r w:rsidR="00522317">
        <w:rPr>
          <w:color w:val="000000" w:themeColor="text1"/>
          <w:sz w:val="22"/>
          <w:szCs w:val="22"/>
        </w:rPr>
        <w:t>2016</w:t>
      </w:r>
      <w:r w:rsidR="00522317" w:rsidRPr="00D90F7D">
        <w:rPr>
          <w:color w:val="000000" w:themeColor="text1"/>
          <w:sz w:val="22"/>
          <w:szCs w:val="22"/>
        </w:rPr>
        <w:t>;</w:t>
      </w:r>
      <w:r w:rsidR="004D3B6E">
        <w:rPr>
          <w:color w:val="000000" w:themeColor="text1"/>
          <w:sz w:val="22"/>
          <w:szCs w:val="22"/>
        </w:rPr>
        <w:t xml:space="preserve"> </w:t>
      </w:r>
      <w:r w:rsidR="00522317" w:rsidRPr="00D90F7D">
        <w:rPr>
          <w:color w:val="000000" w:themeColor="text1"/>
          <w:sz w:val="22"/>
          <w:szCs w:val="22"/>
        </w:rPr>
        <w:t xml:space="preserve">104(3):776-89. </w:t>
      </w:r>
      <w:r w:rsidR="00522317" w:rsidRPr="00303F2F">
        <w:rPr>
          <w:color w:val="000000" w:themeColor="text1"/>
          <w:sz w:val="22"/>
          <w:szCs w:val="22"/>
          <w:u w:val="single"/>
        </w:rPr>
        <w:t>PMCID: PMC4997302</w:t>
      </w:r>
    </w:p>
    <w:p w14:paraId="4EE8C1F9" w14:textId="78E65A07" w:rsidR="00666195" w:rsidRPr="00303F2F" w:rsidRDefault="00522317" w:rsidP="00CB12A7">
      <w:pPr>
        <w:pStyle w:val="Subtitle"/>
        <w:numPr>
          <w:ilvl w:val="0"/>
          <w:numId w:val="23"/>
        </w:numPr>
        <w:spacing w:before="0"/>
        <w:ind w:left="270" w:hanging="270"/>
        <w:rPr>
          <w:rFonts w:cs="Arial"/>
          <w:b w:val="0"/>
          <w:szCs w:val="22"/>
          <w:u w:val="single"/>
        </w:rPr>
      </w:pPr>
      <w:r w:rsidRPr="00E84DE3">
        <w:rPr>
          <w:rFonts w:cs="Arial"/>
          <w:szCs w:val="22"/>
        </w:rPr>
        <w:t>Playdon MC</w:t>
      </w:r>
      <w:r>
        <w:rPr>
          <w:rFonts w:cs="Arial"/>
          <w:b w:val="0"/>
          <w:szCs w:val="22"/>
        </w:rPr>
        <w:t xml:space="preserve">, Moore SC, </w:t>
      </w:r>
      <w:r w:rsidRPr="00E84DE3">
        <w:rPr>
          <w:rFonts w:cs="Arial"/>
          <w:b w:val="0"/>
          <w:szCs w:val="22"/>
        </w:rPr>
        <w:t>Derkach A, Reedy J, Subar AF, Sampson JN, Albanes D, Gu F, Kontto J, Lassale C, Liao LM, Männistö S, Mondul AM, Weinstein SJ, Irwin ML, Mayne ST, Stolzenberg-Solomon R.</w:t>
      </w:r>
      <w:r>
        <w:rPr>
          <w:rFonts w:cs="Arial"/>
          <w:b w:val="0"/>
          <w:szCs w:val="22"/>
        </w:rPr>
        <w:t xml:space="preserve"> Identifying biomarkers of dietary patterns using metabolomics. </w:t>
      </w:r>
      <w:r w:rsidRPr="00303F2F">
        <w:rPr>
          <w:rFonts w:cs="Arial"/>
          <w:b w:val="0"/>
          <w:i/>
          <w:szCs w:val="22"/>
        </w:rPr>
        <w:t>Am J Clin Nutr</w:t>
      </w:r>
      <w:r w:rsidR="004D3B6E">
        <w:rPr>
          <w:rFonts w:cs="Arial"/>
          <w:b w:val="0"/>
          <w:szCs w:val="22"/>
        </w:rPr>
        <w:t>.</w:t>
      </w:r>
      <w:r>
        <w:rPr>
          <w:rFonts w:cs="Arial"/>
          <w:b w:val="0"/>
          <w:szCs w:val="22"/>
        </w:rPr>
        <w:t xml:space="preserve"> 2016</w:t>
      </w:r>
      <w:r w:rsidRPr="009472B3">
        <w:rPr>
          <w:rFonts w:cs="Arial"/>
          <w:b w:val="0"/>
          <w:szCs w:val="22"/>
        </w:rPr>
        <w:t>;</w:t>
      </w:r>
      <w:r w:rsidR="004D3B6E">
        <w:rPr>
          <w:rFonts w:cs="Arial"/>
          <w:b w:val="0"/>
          <w:szCs w:val="22"/>
        </w:rPr>
        <w:t xml:space="preserve"> </w:t>
      </w:r>
      <w:r w:rsidRPr="009472B3">
        <w:rPr>
          <w:rFonts w:cs="Arial"/>
          <w:b w:val="0"/>
          <w:szCs w:val="22"/>
        </w:rPr>
        <w:t>105(2):450-465.</w:t>
      </w:r>
      <w:r>
        <w:rPr>
          <w:rFonts w:cs="Arial"/>
          <w:b w:val="0"/>
          <w:szCs w:val="22"/>
        </w:rPr>
        <w:t xml:space="preserve"> </w:t>
      </w:r>
      <w:r w:rsidRPr="00303F2F">
        <w:rPr>
          <w:rFonts w:cs="Arial"/>
          <w:b w:val="0"/>
          <w:szCs w:val="22"/>
          <w:u w:val="single"/>
        </w:rPr>
        <w:t>PMCID: PMC5267308</w:t>
      </w:r>
    </w:p>
    <w:p w14:paraId="34121509" w14:textId="7220AFB7" w:rsidR="00522317" w:rsidRPr="009472B3" w:rsidRDefault="00522317" w:rsidP="00CB12A7">
      <w:pPr>
        <w:pStyle w:val="ListParagraph"/>
        <w:numPr>
          <w:ilvl w:val="0"/>
          <w:numId w:val="23"/>
        </w:numPr>
        <w:spacing w:after="120"/>
        <w:ind w:left="270" w:hanging="270"/>
        <w:rPr>
          <w:rFonts w:cs="Arial"/>
          <w:szCs w:val="22"/>
        </w:rPr>
      </w:pPr>
      <w:r w:rsidRPr="007C7D14">
        <w:rPr>
          <w:rFonts w:cs="Arial"/>
          <w:b/>
          <w:szCs w:val="22"/>
        </w:rPr>
        <w:t>Playdon MC</w:t>
      </w:r>
      <w:r w:rsidRPr="007C7D14">
        <w:rPr>
          <w:rFonts w:cs="Arial"/>
          <w:szCs w:val="22"/>
        </w:rPr>
        <w:t xml:space="preserve">, Ziegler RG, Sampson JN, Stolzenberg-Solomon R, Thompson HJ, Irwin ML, Mayne ST, Hoover RN, Moore SC. Nutritional metabolomics and breast cancer risk in a prospective study. </w:t>
      </w:r>
      <w:r w:rsidRPr="00303F2F">
        <w:rPr>
          <w:rFonts w:cs="Arial"/>
          <w:i/>
          <w:szCs w:val="22"/>
        </w:rPr>
        <w:t>Am J Clin Nutr</w:t>
      </w:r>
      <w:r w:rsidRPr="007C7D14">
        <w:rPr>
          <w:rFonts w:cs="Arial"/>
          <w:szCs w:val="22"/>
        </w:rPr>
        <w:t>. 2017</w:t>
      </w:r>
      <w:r w:rsidR="006F7C58">
        <w:rPr>
          <w:rFonts w:cs="Arial"/>
          <w:szCs w:val="22"/>
        </w:rPr>
        <w:t>; 106(2): 637-49.</w:t>
      </w:r>
      <w:r>
        <w:rPr>
          <w:rFonts w:cs="Arial"/>
          <w:szCs w:val="22"/>
        </w:rPr>
        <w:t xml:space="preserve"> </w:t>
      </w:r>
      <w:r w:rsidRPr="00303F2F">
        <w:rPr>
          <w:rFonts w:cs="Arial"/>
          <w:szCs w:val="22"/>
          <w:u w:val="single"/>
        </w:rPr>
        <w:t>PMCID: PMC5525118</w:t>
      </w:r>
    </w:p>
    <w:p w14:paraId="34BDCAF8" w14:textId="6B01E741" w:rsidR="00522317" w:rsidRPr="00303F2F" w:rsidRDefault="00522317" w:rsidP="00CB12A7">
      <w:pPr>
        <w:pStyle w:val="ListParagraph"/>
        <w:numPr>
          <w:ilvl w:val="0"/>
          <w:numId w:val="23"/>
        </w:numPr>
        <w:spacing w:after="120"/>
        <w:ind w:left="270" w:hanging="270"/>
        <w:rPr>
          <w:rFonts w:cs="Arial"/>
          <w:color w:val="000000" w:themeColor="text1"/>
          <w:szCs w:val="22"/>
        </w:rPr>
      </w:pPr>
      <w:r w:rsidRPr="009472B3">
        <w:rPr>
          <w:rFonts w:cs="Arial"/>
          <w:color w:val="000000" w:themeColor="text1"/>
          <w:szCs w:val="22"/>
        </w:rPr>
        <w:t xml:space="preserve">Moore SC, </w:t>
      </w:r>
      <w:r w:rsidRPr="009472B3">
        <w:rPr>
          <w:rFonts w:cs="Arial"/>
          <w:b/>
          <w:color w:val="000000" w:themeColor="text1"/>
          <w:szCs w:val="22"/>
        </w:rPr>
        <w:t>Playdon MC</w:t>
      </w:r>
      <w:r w:rsidRPr="009472B3">
        <w:rPr>
          <w:rFonts w:cs="Arial"/>
          <w:color w:val="000000" w:themeColor="text1"/>
          <w:szCs w:val="22"/>
        </w:rPr>
        <w:t xml:space="preserve">, Sampson JN, Hoover RN, Trabert B, Matthews CE, Ziegler RG. A metabolomics analysis of body mass index and postmenopausal breast cancer risk. </w:t>
      </w:r>
      <w:r w:rsidRPr="00303F2F">
        <w:rPr>
          <w:rFonts w:cs="Arial"/>
          <w:i/>
          <w:color w:val="000000" w:themeColor="text1"/>
          <w:szCs w:val="22"/>
        </w:rPr>
        <w:t>J Natl Cancer Inst</w:t>
      </w:r>
      <w:r w:rsidRPr="009472B3">
        <w:rPr>
          <w:rFonts w:cs="Arial"/>
          <w:color w:val="000000" w:themeColor="text1"/>
          <w:szCs w:val="22"/>
        </w:rPr>
        <w:t>. 2018</w:t>
      </w:r>
      <w:r w:rsidR="006F7C58">
        <w:rPr>
          <w:rFonts w:cs="Arial"/>
          <w:color w:val="000000" w:themeColor="text1"/>
          <w:szCs w:val="22"/>
        </w:rPr>
        <w:t>; 110(6): 588-97.</w:t>
      </w:r>
      <w:r w:rsidRPr="009472B3">
        <w:rPr>
          <w:rFonts w:cs="Arial"/>
          <w:color w:val="000000" w:themeColor="text1"/>
          <w:szCs w:val="22"/>
        </w:rPr>
        <w:t xml:space="preserve"> </w:t>
      </w:r>
      <w:r w:rsidRPr="00303F2F">
        <w:rPr>
          <w:rFonts w:cs="Arial"/>
          <w:color w:val="000000" w:themeColor="text1"/>
          <w:szCs w:val="22"/>
          <w:u w:val="single"/>
        </w:rPr>
        <w:t>PMCID: PMC6279273</w:t>
      </w:r>
    </w:p>
    <w:p w14:paraId="6BD59348" w14:textId="40636A74" w:rsidR="00CB12A7" w:rsidRDefault="00522317" w:rsidP="00454390">
      <w:pPr>
        <w:pStyle w:val="BodyTextIndent"/>
        <w:numPr>
          <w:ilvl w:val="0"/>
          <w:numId w:val="46"/>
        </w:numPr>
        <w:tabs>
          <w:tab w:val="left" w:pos="0"/>
          <w:tab w:val="left" w:pos="270"/>
        </w:tabs>
        <w:autoSpaceDE/>
        <w:autoSpaceDN/>
        <w:spacing w:after="120"/>
        <w:ind w:left="0" w:firstLine="0"/>
        <w:jc w:val="left"/>
        <w:rPr>
          <w:color w:val="auto"/>
          <w:sz w:val="22"/>
          <w:szCs w:val="22"/>
        </w:rPr>
      </w:pPr>
      <w:r w:rsidRPr="00284BE1">
        <w:rPr>
          <w:b/>
          <w:color w:val="auto"/>
          <w:sz w:val="22"/>
          <w:szCs w:val="22"/>
        </w:rPr>
        <w:t>Cancer Survivorship</w:t>
      </w:r>
      <w:r w:rsidR="00486792">
        <w:rPr>
          <w:b/>
          <w:color w:val="auto"/>
          <w:sz w:val="22"/>
          <w:szCs w:val="22"/>
        </w:rPr>
        <w:t>:</w:t>
      </w:r>
      <w:r w:rsidRPr="00284BE1">
        <w:rPr>
          <w:b/>
          <w:color w:val="auto"/>
          <w:sz w:val="22"/>
          <w:szCs w:val="22"/>
        </w:rPr>
        <w:t xml:space="preserve"> </w:t>
      </w:r>
      <w:r w:rsidR="00666195" w:rsidRPr="00303F2F">
        <w:rPr>
          <w:color w:val="auto"/>
          <w:sz w:val="22"/>
          <w:szCs w:val="22"/>
        </w:rPr>
        <w:t xml:space="preserve">I have contributed to research on understanding the role of diet in cancer prognosis and other health needs among </w:t>
      </w:r>
      <w:r w:rsidR="00A06721">
        <w:rPr>
          <w:color w:val="auto"/>
          <w:sz w:val="22"/>
          <w:szCs w:val="22"/>
        </w:rPr>
        <w:t>cancer survivors</w:t>
      </w:r>
      <w:r w:rsidR="00666195" w:rsidRPr="00303F2F">
        <w:rPr>
          <w:color w:val="auto"/>
          <w:sz w:val="22"/>
          <w:szCs w:val="22"/>
        </w:rPr>
        <w:t>. Diet and nutrition have important roles in cancer prevention and for prognosis, particularly body weight management. However, supporting evidence for the role of many foods and nutrients in cancer prevention has been perceived as being inconsistent, and data among cancer survivors are limited. In an analysis of data from the Australian Ovarian Cancer Study (AOCS), I explored pre-diagnosis diet and survival after diagnosis of ovarian cancer. This large analysis found that components of a healthy diet, including fiber intake, were associated with ovarian cancer survival, and support</w:t>
      </w:r>
      <w:r w:rsidR="00A06721">
        <w:rPr>
          <w:color w:val="auto"/>
          <w:sz w:val="22"/>
          <w:szCs w:val="22"/>
        </w:rPr>
        <w:t>s</w:t>
      </w:r>
      <w:r w:rsidR="00666195" w:rsidRPr="00303F2F">
        <w:rPr>
          <w:color w:val="auto"/>
          <w:sz w:val="22"/>
          <w:szCs w:val="22"/>
        </w:rPr>
        <w:t xml:space="preserve"> future investigations into changes in dietary pattern after diagnosis and effects on prognosis. This work strengthens the evidence base for providing dietary guidance for ovarian cancer survivors</w:t>
      </w:r>
      <w:r w:rsidR="0096482E">
        <w:rPr>
          <w:color w:val="auto"/>
          <w:sz w:val="22"/>
          <w:szCs w:val="22"/>
        </w:rPr>
        <w:t xml:space="preserve"> </w:t>
      </w:r>
      <w:r w:rsidR="0096482E">
        <w:rPr>
          <w:b/>
          <w:color w:val="auto"/>
          <w:sz w:val="22"/>
          <w:szCs w:val="22"/>
        </w:rPr>
        <w:t>[a]</w:t>
      </w:r>
      <w:r w:rsidR="0096482E">
        <w:rPr>
          <w:color w:val="auto"/>
          <w:sz w:val="22"/>
          <w:szCs w:val="22"/>
        </w:rPr>
        <w:t>.</w:t>
      </w:r>
    </w:p>
    <w:p w14:paraId="66B70246" w14:textId="7EB8F7C3" w:rsidR="00CB12A7" w:rsidRPr="00CB12A7" w:rsidRDefault="00CB12A7" w:rsidP="00CB12A7">
      <w:pPr>
        <w:pStyle w:val="BodyTextIndent"/>
        <w:numPr>
          <w:ilvl w:val="0"/>
          <w:numId w:val="45"/>
        </w:numPr>
        <w:tabs>
          <w:tab w:val="left" w:pos="270"/>
        </w:tabs>
        <w:autoSpaceDE/>
        <w:autoSpaceDN/>
        <w:spacing w:after="120"/>
        <w:jc w:val="left"/>
        <w:rPr>
          <w:color w:val="auto"/>
          <w:sz w:val="22"/>
          <w:szCs w:val="22"/>
          <w:u w:val="single"/>
        </w:rPr>
      </w:pPr>
      <w:r w:rsidRPr="00303F2F">
        <w:rPr>
          <w:b/>
          <w:color w:val="auto"/>
          <w:sz w:val="22"/>
          <w:szCs w:val="22"/>
        </w:rPr>
        <w:t>Playdon MC</w:t>
      </w:r>
      <w:r w:rsidRPr="00303F2F">
        <w:rPr>
          <w:color w:val="auto"/>
          <w:sz w:val="22"/>
          <w:szCs w:val="22"/>
        </w:rPr>
        <w:t xml:space="preserve">, Nagle, CM, Ibiebele TI, Ferrucci LM, Protani MM, Carter J, Hyde SE, Neesham D, Nicklin JL, Mayne ST, </w:t>
      </w:r>
      <w:r w:rsidRPr="00303F2F">
        <w:rPr>
          <w:color w:val="auto"/>
          <w:sz w:val="22"/>
          <w:szCs w:val="22"/>
        </w:rPr>
        <w:tab/>
        <w:t>Webb PM. Pre-diagnosis diet and survival after a diagnosis of ovarian cancer.</w:t>
      </w:r>
      <w:r w:rsidRPr="00303F2F">
        <w:rPr>
          <w:i/>
          <w:color w:val="auto"/>
          <w:sz w:val="22"/>
          <w:szCs w:val="22"/>
        </w:rPr>
        <w:t xml:space="preserve"> Br J Cancer.</w:t>
      </w:r>
      <w:r w:rsidRPr="00303F2F">
        <w:rPr>
          <w:color w:val="auto"/>
          <w:sz w:val="22"/>
          <w:szCs w:val="22"/>
        </w:rPr>
        <w:t xml:space="preserve"> 2017; 116(12):1627-1637. </w:t>
      </w:r>
      <w:r w:rsidRPr="00303F2F">
        <w:rPr>
          <w:color w:val="auto"/>
          <w:sz w:val="22"/>
          <w:szCs w:val="22"/>
        </w:rPr>
        <w:tab/>
      </w:r>
      <w:r w:rsidRPr="00303F2F">
        <w:rPr>
          <w:color w:val="auto"/>
          <w:sz w:val="22"/>
          <w:szCs w:val="22"/>
          <w:u w:val="single"/>
        </w:rPr>
        <w:t>PMCID: PMC5518850</w:t>
      </w:r>
    </w:p>
    <w:p w14:paraId="642F5913" w14:textId="148057CD" w:rsidR="00454390" w:rsidRDefault="00345ED3" w:rsidP="00454390">
      <w:pPr>
        <w:pStyle w:val="BodyTextIndent"/>
        <w:tabs>
          <w:tab w:val="left" w:pos="0"/>
        </w:tabs>
        <w:autoSpaceDE/>
        <w:autoSpaceDN/>
        <w:spacing w:after="120"/>
        <w:ind w:left="0"/>
        <w:jc w:val="left"/>
        <w:rPr>
          <w:color w:val="auto"/>
          <w:sz w:val="22"/>
          <w:szCs w:val="22"/>
        </w:rPr>
      </w:pPr>
      <w:r>
        <w:rPr>
          <w:color w:val="auto"/>
          <w:sz w:val="22"/>
          <w:szCs w:val="22"/>
        </w:rPr>
        <w:t xml:space="preserve">More recently, </w:t>
      </w:r>
      <w:r w:rsidR="004B39F2">
        <w:rPr>
          <w:color w:val="auto"/>
          <w:sz w:val="22"/>
          <w:szCs w:val="22"/>
        </w:rPr>
        <w:t xml:space="preserve">I was senior author on </w:t>
      </w:r>
      <w:r w:rsidR="00E36D57">
        <w:rPr>
          <w:color w:val="auto"/>
          <w:sz w:val="22"/>
          <w:szCs w:val="22"/>
        </w:rPr>
        <w:t xml:space="preserve">a study </w:t>
      </w:r>
      <w:r w:rsidR="00F508FA" w:rsidRPr="00F508FA">
        <w:rPr>
          <w:color w:val="auto"/>
          <w:sz w:val="22"/>
          <w:szCs w:val="22"/>
          <w:u w:val="single"/>
        </w:rPr>
        <w:t>with MPI Ulrich</w:t>
      </w:r>
      <w:r w:rsidR="00F508FA">
        <w:rPr>
          <w:color w:val="auto"/>
          <w:sz w:val="22"/>
          <w:szCs w:val="22"/>
        </w:rPr>
        <w:t xml:space="preserve"> </w:t>
      </w:r>
      <w:r w:rsidR="00E36D57">
        <w:rPr>
          <w:color w:val="auto"/>
          <w:sz w:val="22"/>
          <w:szCs w:val="22"/>
        </w:rPr>
        <w:t>interrogating</w:t>
      </w:r>
      <w:r w:rsidR="004B39F2">
        <w:rPr>
          <w:color w:val="auto"/>
          <w:sz w:val="22"/>
          <w:szCs w:val="22"/>
        </w:rPr>
        <w:t xml:space="preserve"> the interface of B-vitamin metabolism with systemic inflammation and angiogenesis among colorectal cancer survivors participating in the ColoCare cohort </w:t>
      </w:r>
      <w:r w:rsidR="004B39F2" w:rsidRPr="004B39F2">
        <w:rPr>
          <w:b/>
          <w:color w:val="auto"/>
          <w:sz w:val="22"/>
          <w:szCs w:val="22"/>
        </w:rPr>
        <w:t>[b]</w:t>
      </w:r>
      <w:r w:rsidR="00CB12A7">
        <w:rPr>
          <w:color w:val="auto"/>
          <w:sz w:val="22"/>
          <w:szCs w:val="22"/>
        </w:rPr>
        <w:t xml:space="preserve">. </w:t>
      </w:r>
      <w:r w:rsidR="00E36D57">
        <w:rPr>
          <w:color w:val="auto"/>
          <w:sz w:val="22"/>
          <w:szCs w:val="22"/>
        </w:rPr>
        <w:t>Active</w:t>
      </w:r>
      <w:r w:rsidR="007E301F">
        <w:rPr>
          <w:color w:val="auto"/>
          <w:sz w:val="22"/>
          <w:szCs w:val="22"/>
        </w:rPr>
        <w:t xml:space="preserve"> vitamin B6 was inversely related to inflammatory and angiogenesis biomarkers</w:t>
      </w:r>
      <w:r w:rsidR="00454390">
        <w:rPr>
          <w:color w:val="auto"/>
          <w:sz w:val="22"/>
          <w:szCs w:val="22"/>
        </w:rPr>
        <w:t>.</w:t>
      </w:r>
    </w:p>
    <w:p w14:paraId="4E18BCEC" w14:textId="4593D7D1" w:rsidR="00454390" w:rsidRPr="00454390" w:rsidRDefault="00454390" w:rsidP="00454390">
      <w:pPr>
        <w:pStyle w:val="BodyTextIndent"/>
        <w:numPr>
          <w:ilvl w:val="0"/>
          <w:numId w:val="45"/>
        </w:numPr>
        <w:tabs>
          <w:tab w:val="left" w:pos="270"/>
        </w:tabs>
        <w:autoSpaceDE/>
        <w:autoSpaceDN/>
        <w:spacing w:after="120"/>
        <w:jc w:val="left"/>
        <w:rPr>
          <w:color w:val="auto"/>
          <w:sz w:val="22"/>
          <w:szCs w:val="22"/>
          <w:u w:val="single"/>
        </w:rPr>
      </w:pPr>
      <w:r w:rsidRPr="00345ED3">
        <w:rPr>
          <w:color w:val="auto"/>
          <w:sz w:val="22"/>
          <w:szCs w:val="22"/>
        </w:rPr>
        <w:t xml:space="preserve">Kiblawi R, Holowatj A, Gigic B, Brezina S, Geijsen A, Ose J, Lin T, Hardikar S, Himbert C, Warby CA, Böhm J, Bours MJL, van Duijnhoven FJB, Gumpenberger T, Kok DE, Koole JL, van Roekel EH, Schrotz-King P, Ulvik A, Gsur A, Habermann N, Weijenberg MP, Ueland PM, Schneider M, Ulrich A, Ulrich CM, </w:t>
      </w:r>
      <w:r w:rsidRPr="00345ED3">
        <w:rPr>
          <w:b/>
          <w:color w:val="auto"/>
          <w:sz w:val="22"/>
          <w:szCs w:val="22"/>
        </w:rPr>
        <w:t>Playdon M</w:t>
      </w:r>
      <w:r w:rsidRPr="00345ED3">
        <w:rPr>
          <w:color w:val="auto"/>
          <w:sz w:val="22"/>
          <w:szCs w:val="22"/>
        </w:rPr>
        <w:t xml:space="preserve">. One-carbon metabolites, B-vitamins and associations with systemic inflammation and angiogenesis biomarkers among colorectal cancer patients:  results from the ColoCare Study. (2020) Br J Nutr, 5:1-32; </w:t>
      </w:r>
      <w:r w:rsidRPr="00345ED3">
        <w:rPr>
          <w:color w:val="auto"/>
          <w:sz w:val="22"/>
          <w:szCs w:val="22"/>
          <w:u w:val="single"/>
        </w:rPr>
        <w:t>PMCID: PMC7425811</w:t>
      </w:r>
    </w:p>
    <w:p w14:paraId="11688A5A" w14:textId="630AF7EC" w:rsidR="00454390" w:rsidRDefault="007E301F" w:rsidP="00454390">
      <w:pPr>
        <w:pStyle w:val="BodyTextIndent"/>
        <w:tabs>
          <w:tab w:val="left" w:pos="0"/>
        </w:tabs>
        <w:autoSpaceDE/>
        <w:autoSpaceDN/>
        <w:spacing w:after="120"/>
        <w:ind w:left="0"/>
        <w:jc w:val="left"/>
        <w:rPr>
          <w:color w:val="auto"/>
          <w:sz w:val="22"/>
          <w:szCs w:val="22"/>
        </w:rPr>
      </w:pPr>
      <w:r>
        <w:rPr>
          <w:color w:val="auto"/>
          <w:sz w:val="22"/>
          <w:szCs w:val="22"/>
        </w:rPr>
        <w:lastRenderedPageBreak/>
        <w:t>I joined a transdisciplinary team leveraging data from the Utah Population Database</w:t>
      </w:r>
      <w:r w:rsidR="007A5845">
        <w:rPr>
          <w:color w:val="auto"/>
          <w:sz w:val="22"/>
          <w:szCs w:val="22"/>
        </w:rPr>
        <w:t xml:space="preserve"> (UPDB)</w:t>
      </w:r>
      <w:r>
        <w:rPr>
          <w:color w:val="auto"/>
          <w:sz w:val="22"/>
          <w:szCs w:val="22"/>
        </w:rPr>
        <w:t xml:space="preserve"> to determine the long-term risk of new-onset diabetes among endometrial cancer patients </w:t>
      </w:r>
      <w:r w:rsidRPr="007E301F">
        <w:rPr>
          <w:b/>
          <w:color w:val="auto"/>
          <w:sz w:val="22"/>
          <w:szCs w:val="22"/>
        </w:rPr>
        <w:t>[c]</w:t>
      </w:r>
      <w:r>
        <w:rPr>
          <w:color w:val="auto"/>
          <w:sz w:val="22"/>
          <w:szCs w:val="22"/>
        </w:rPr>
        <w:t xml:space="preserve">. </w:t>
      </w:r>
      <w:r w:rsidR="003454E2">
        <w:rPr>
          <w:color w:val="auto"/>
          <w:sz w:val="22"/>
          <w:szCs w:val="22"/>
        </w:rPr>
        <w:t>Endometrial cancer survivors had higher risk of diabetes than body mass index matched women in the population, both in the short (up to 5-years) and long-term (&gt;5 years after diagnosis).</w:t>
      </w:r>
    </w:p>
    <w:p w14:paraId="28A131A5" w14:textId="70D3A81F" w:rsidR="00454390" w:rsidRPr="00454390" w:rsidRDefault="00454390" w:rsidP="00454390">
      <w:pPr>
        <w:pStyle w:val="BodyTextIndent"/>
        <w:numPr>
          <w:ilvl w:val="0"/>
          <w:numId w:val="45"/>
        </w:numPr>
        <w:tabs>
          <w:tab w:val="left" w:pos="270"/>
        </w:tabs>
        <w:autoSpaceDE/>
        <w:autoSpaceDN/>
        <w:spacing w:after="120"/>
        <w:jc w:val="left"/>
        <w:rPr>
          <w:color w:val="auto"/>
          <w:sz w:val="22"/>
          <w:szCs w:val="22"/>
        </w:rPr>
      </w:pPr>
      <w:r w:rsidRPr="003454E2">
        <w:rPr>
          <w:color w:val="auto"/>
          <w:sz w:val="22"/>
          <w:szCs w:val="22"/>
        </w:rPr>
        <w:t xml:space="preserve">Kim S, Chen Y, Rowe K, Snyder J, Fraser A, Smith K, Deshmukh VG, Newman M, Herget K, Porucznik C, Ose D, </w:t>
      </w:r>
      <w:r w:rsidRPr="003454E2">
        <w:rPr>
          <w:b/>
          <w:color w:val="auto"/>
          <w:sz w:val="22"/>
          <w:szCs w:val="22"/>
        </w:rPr>
        <w:t>Playdon M</w:t>
      </w:r>
      <w:r w:rsidRPr="003454E2">
        <w:rPr>
          <w:color w:val="auto"/>
          <w:sz w:val="22"/>
          <w:szCs w:val="22"/>
        </w:rPr>
        <w:t>, Gaffney D, Hashibe M (2019) Long-term Diabetes Risk among Endometrial Cancer Survivors in a Population-Based Cohort Study.(2019) Gynecol Oncol, 156(1):185-193.</w:t>
      </w:r>
      <w:r>
        <w:rPr>
          <w:color w:val="auto"/>
          <w:sz w:val="22"/>
          <w:szCs w:val="22"/>
        </w:rPr>
        <w:t xml:space="preserve"> </w:t>
      </w:r>
      <w:r w:rsidRPr="003454E2">
        <w:rPr>
          <w:color w:val="auto"/>
          <w:sz w:val="22"/>
          <w:szCs w:val="22"/>
          <w:u w:val="single"/>
        </w:rPr>
        <w:t>PMCID: PMC7083523</w:t>
      </w:r>
    </w:p>
    <w:p w14:paraId="65022D1F" w14:textId="141AE510" w:rsidR="00666195" w:rsidRPr="00303F2F" w:rsidRDefault="0092337B" w:rsidP="00454390">
      <w:pPr>
        <w:pStyle w:val="BodyTextIndent"/>
        <w:tabs>
          <w:tab w:val="left" w:pos="0"/>
        </w:tabs>
        <w:autoSpaceDE/>
        <w:autoSpaceDN/>
        <w:spacing w:after="120"/>
        <w:ind w:left="0"/>
        <w:jc w:val="left"/>
        <w:rPr>
          <w:color w:val="auto"/>
          <w:sz w:val="22"/>
          <w:szCs w:val="22"/>
        </w:rPr>
      </w:pPr>
      <w:r>
        <w:rPr>
          <w:color w:val="auto"/>
          <w:sz w:val="22"/>
          <w:szCs w:val="22"/>
        </w:rPr>
        <w:t xml:space="preserve">Collectively, these studies have identified important domains of diet and metabolism that may impact survival among cancer patients, </w:t>
      </w:r>
      <w:r w:rsidR="007A5845">
        <w:rPr>
          <w:color w:val="auto"/>
          <w:sz w:val="22"/>
          <w:szCs w:val="22"/>
        </w:rPr>
        <w:t>and underscore</w:t>
      </w:r>
      <w:r>
        <w:rPr>
          <w:color w:val="auto"/>
          <w:sz w:val="22"/>
          <w:szCs w:val="22"/>
        </w:rPr>
        <w:t xml:space="preserve"> the ongoing need for dietary information years after cancer diagnosis.</w:t>
      </w:r>
    </w:p>
    <w:p w14:paraId="79E3FF11" w14:textId="64CCBB5D" w:rsidR="00522317" w:rsidRPr="00303F2F" w:rsidRDefault="006F7C58" w:rsidP="00CB12A7">
      <w:pPr>
        <w:pStyle w:val="ListParagraph"/>
        <w:spacing w:after="120"/>
        <w:ind w:left="0"/>
        <w:rPr>
          <w:rFonts w:cs="Arial"/>
          <w:b/>
          <w:szCs w:val="22"/>
        </w:rPr>
      </w:pPr>
      <w:r>
        <w:rPr>
          <w:rFonts w:cs="Arial"/>
          <w:b/>
          <w:szCs w:val="22"/>
        </w:rPr>
        <w:t xml:space="preserve">4. </w:t>
      </w:r>
      <w:r w:rsidR="00522317" w:rsidRPr="00976288">
        <w:rPr>
          <w:rFonts w:cs="Arial"/>
          <w:b/>
          <w:szCs w:val="22"/>
        </w:rPr>
        <w:t xml:space="preserve">Etiology of </w:t>
      </w:r>
      <w:r w:rsidR="00FE7213" w:rsidRPr="00976288">
        <w:rPr>
          <w:rFonts w:cs="Arial"/>
          <w:b/>
          <w:szCs w:val="22"/>
        </w:rPr>
        <w:t>Cardiometabolic Disease</w:t>
      </w:r>
      <w:r w:rsidR="00666195">
        <w:rPr>
          <w:rFonts w:cs="Arial"/>
          <w:b/>
          <w:szCs w:val="22"/>
        </w:rPr>
        <w:t>:</w:t>
      </w:r>
      <w:r w:rsidR="00522317" w:rsidRPr="00976288">
        <w:rPr>
          <w:rFonts w:cs="Arial"/>
          <w:szCs w:val="22"/>
        </w:rPr>
        <w:t xml:space="preserve"> </w:t>
      </w:r>
      <w:r w:rsidR="00666195" w:rsidRPr="00666195">
        <w:rPr>
          <w:rFonts w:cs="Arial"/>
          <w:szCs w:val="22"/>
        </w:rPr>
        <w:t>My early publications describe the work of a translational research team in the Department of Endocrinology, Metabolism and Diabetes at the University of Colorado, Denver, that have conducted transformational studies to understand insulin resistance and propensity to develop Type 2 diabetes. These publications have formed the basis for research in the field. Among US adults, more than 1-in-3 have pre-diabetes, a condition of dysglycemia strongly associated with progression to type 2 diabetes. Our team explored the etiology of insulin resistance and different forms of pre-diabetes in relation to intramuscular lipid. I served as co-author and contributed to the clinical study coordination, data collection and wet laboratory methods as part of the multidisciplinary team. Intramuscular triglyceride (IMTG) concentration is elevated in insulin-resistant individuals. Initial studies identified that saturated diacylglycerol (including intracellular location and molecular species) was positively associated with insulin resistance. Novel potential therapeutic targets for diabetes prevention were identified</w:t>
      </w:r>
      <w:r w:rsidR="007C4486">
        <w:rPr>
          <w:rFonts w:cs="Arial"/>
          <w:szCs w:val="22"/>
        </w:rPr>
        <w:t xml:space="preserve"> </w:t>
      </w:r>
      <w:r w:rsidR="007C4486">
        <w:rPr>
          <w:rFonts w:cs="Arial"/>
          <w:b/>
          <w:szCs w:val="22"/>
        </w:rPr>
        <w:t>[a]</w:t>
      </w:r>
      <w:r w:rsidR="00666195" w:rsidRPr="00666195">
        <w:rPr>
          <w:rFonts w:cs="Arial"/>
          <w:szCs w:val="22"/>
        </w:rPr>
        <w:t xml:space="preserve">. </w:t>
      </w:r>
      <w:r w:rsidR="00522317">
        <w:rPr>
          <w:rFonts w:cs="Arial"/>
          <w:szCs w:val="22"/>
        </w:rPr>
        <w:t xml:space="preserve"> </w:t>
      </w:r>
      <w:r w:rsidR="007C4486" w:rsidRPr="00666195">
        <w:rPr>
          <w:szCs w:val="22"/>
        </w:rPr>
        <w:t>Subsequent studies explored the “</w:t>
      </w:r>
      <w:r w:rsidR="00097328" w:rsidRPr="00666195">
        <w:rPr>
          <w:szCs w:val="22"/>
        </w:rPr>
        <w:t>athletes’</w:t>
      </w:r>
      <w:r w:rsidR="007C4486" w:rsidRPr="00666195">
        <w:rPr>
          <w:szCs w:val="22"/>
        </w:rPr>
        <w:t xml:space="preserve"> paradox”, where elite trained athletes have high IMTG but high insulin sensitivity. Findings demonstrated that, in athletes, IMTG synthesis rates influence insulin sensitivity by altering localization of intramuscular lipids and decreasing ceramides that promote insulin resistance</w:t>
      </w:r>
      <w:r w:rsidR="007C4486">
        <w:rPr>
          <w:szCs w:val="22"/>
        </w:rPr>
        <w:t xml:space="preserve"> </w:t>
      </w:r>
      <w:r w:rsidR="007C4486">
        <w:rPr>
          <w:b/>
          <w:szCs w:val="22"/>
        </w:rPr>
        <w:t>[b]</w:t>
      </w:r>
      <w:r w:rsidR="007C4486" w:rsidRPr="00666195">
        <w:rPr>
          <w:szCs w:val="22"/>
        </w:rPr>
        <w:t>.</w:t>
      </w:r>
      <w:r w:rsidR="007C4486" w:rsidRPr="007C4486">
        <w:rPr>
          <w:rFonts w:cs="Arial"/>
          <w:szCs w:val="22"/>
        </w:rPr>
        <w:t xml:space="preserve"> </w:t>
      </w:r>
      <w:r w:rsidR="007C4486">
        <w:rPr>
          <w:rFonts w:cs="Arial"/>
          <w:szCs w:val="22"/>
        </w:rPr>
        <w:t>Additionally, we demonstrated</w:t>
      </w:r>
      <w:r w:rsidR="007C4486" w:rsidRPr="00D013F8">
        <w:rPr>
          <w:rFonts w:cs="Arial"/>
          <w:szCs w:val="22"/>
        </w:rPr>
        <w:t xml:space="preserve"> that combined impaired fasting glucose/impaired glucose tolerance (IFG/IGT) was a distinct prediabetes syndrome rather than representing progression from IFG, with implications for specific treatment and prevention strategi</w:t>
      </w:r>
      <w:r w:rsidR="007C4486">
        <w:rPr>
          <w:rFonts w:cs="Arial"/>
          <w:szCs w:val="22"/>
        </w:rPr>
        <w:t xml:space="preserve">es </w:t>
      </w:r>
      <w:r w:rsidR="007C4486">
        <w:rPr>
          <w:rFonts w:cs="Arial"/>
          <w:b/>
          <w:szCs w:val="22"/>
        </w:rPr>
        <w:t>[c].</w:t>
      </w:r>
    </w:p>
    <w:p w14:paraId="060ED694" w14:textId="414ED68D" w:rsidR="00522317" w:rsidRDefault="00522317" w:rsidP="00CB12A7">
      <w:pPr>
        <w:pStyle w:val="BodyTextIndent"/>
        <w:numPr>
          <w:ilvl w:val="0"/>
          <w:numId w:val="33"/>
        </w:numPr>
        <w:tabs>
          <w:tab w:val="left" w:pos="270"/>
          <w:tab w:val="left" w:pos="360"/>
        </w:tabs>
        <w:autoSpaceDE/>
        <w:autoSpaceDN/>
        <w:spacing w:after="120"/>
        <w:ind w:left="270" w:hanging="270"/>
        <w:jc w:val="left"/>
        <w:rPr>
          <w:color w:val="auto"/>
          <w:sz w:val="22"/>
          <w:szCs w:val="22"/>
        </w:rPr>
      </w:pPr>
      <w:r w:rsidRPr="004027CB">
        <w:rPr>
          <w:color w:val="auto"/>
          <w:sz w:val="22"/>
          <w:szCs w:val="22"/>
        </w:rPr>
        <w:t xml:space="preserve">Bergman BC, Hunerdosse DM, Kerege A, </w:t>
      </w:r>
      <w:r w:rsidRPr="004027CB">
        <w:rPr>
          <w:b/>
          <w:color w:val="auto"/>
          <w:sz w:val="22"/>
          <w:szCs w:val="22"/>
        </w:rPr>
        <w:t>Playdon MC</w:t>
      </w:r>
      <w:r w:rsidRPr="004027CB">
        <w:rPr>
          <w:color w:val="auto"/>
          <w:sz w:val="22"/>
          <w:szCs w:val="22"/>
        </w:rPr>
        <w:t xml:space="preserve">, Perreault L. Localisation and composition of skeletal muscle diacylglycerol predicts insulin resistance in humans. </w:t>
      </w:r>
      <w:r w:rsidRPr="00303F2F">
        <w:rPr>
          <w:i/>
          <w:color w:val="auto"/>
          <w:sz w:val="22"/>
          <w:szCs w:val="22"/>
        </w:rPr>
        <w:t>Diabetologia.</w:t>
      </w:r>
      <w:r w:rsidRPr="004027CB">
        <w:rPr>
          <w:color w:val="auto"/>
          <w:sz w:val="22"/>
          <w:szCs w:val="22"/>
        </w:rPr>
        <w:t xml:space="preserve"> 2012;</w:t>
      </w:r>
      <w:r w:rsidR="006F7C58">
        <w:rPr>
          <w:color w:val="auto"/>
          <w:sz w:val="22"/>
          <w:szCs w:val="22"/>
        </w:rPr>
        <w:t xml:space="preserve"> </w:t>
      </w:r>
      <w:r w:rsidRPr="004027CB">
        <w:rPr>
          <w:color w:val="auto"/>
          <w:sz w:val="22"/>
          <w:szCs w:val="22"/>
        </w:rPr>
        <w:t xml:space="preserve">55(4):1140-50. </w:t>
      </w:r>
      <w:r w:rsidRPr="00303F2F">
        <w:rPr>
          <w:color w:val="auto"/>
          <w:sz w:val="22"/>
          <w:szCs w:val="22"/>
          <w:u w:val="single"/>
        </w:rPr>
        <w:t>PMCID: PMC3296871</w:t>
      </w:r>
    </w:p>
    <w:p w14:paraId="644DF4AB" w14:textId="10495FE8" w:rsidR="00666195" w:rsidRPr="00976288" w:rsidRDefault="00666195" w:rsidP="00CB12A7">
      <w:pPr>
        <w:pStyle w:val="ListParagraph"/>
        <w:tabs>
          <w:tab w:val="left" w:pos="0"/>
          <w:tab w:val="left" w:pos="270"/>
        </w:tabs>
        <w:spacing w:after="120"/>
        <w:ind w:left="0"/>
        <w:rPr>
          <w:rFonts w:cs="Arial"/>
          <w:szCs w:val="22"/>
        </w:rPr>
      </w:pPr>
      <w:r>
        <w:rPr>
          <w:szCs w:val="22"/>
        </w:rPr>
        <w:t xml:space="preserve">b) </w:t>
      </w:r>
      <w:r w:rsidR="00522317" w:rsidRPr="00976288">
        <w:rPr>
          <w:rFonts w:cs="Arial"/>
          <w:szCs w:val="22"/>
        </w:rPr>
        <w:t xml:space="preserve">Bergman B, Perreault L, Strauss A, Bacon S, Kerege A, Harrison K, Brozinick J, Hunderdosse D, </w:t>
      </w:r>
      <w:r w:rsidR="00522317" w:rsidRPr="00976288">
        <w:rPr>
          <w:rFonts w:cs="Arial"/>
          <w:b/>
          <w:szCs w:val="22"/>
        </w:rPr>
        <w:t xml:space="preserve">Playdon </w:t>
      </w:r>
      <w:r>
        <w:rPr>
          <w:rFonts w:cs="Arial"/>
          <w:b/>
          <w:szCs w:val="22"/>
        </w:rPr>
        <w:tab/>
      </w:r>
      <w:r w:rsidR="00522317" w:rsidRPr="00976288">
        <w:rPr>
          <w:rFonts w:cs="Arial"/>
          <w:b/>
          <w:szCs w:val="22"/>
        </w:rPr>
        <w:t>M</w:t>
      </w:r>
      <w:r w:rsidR="00522317" w:rsidRPr="00976288">
        <w:rPr>
          <w:rFonts w:cs="Arial"/>
          <w:szCs w:val="22"/>
        </w:rPr>
        <w:t xml:space="preserve">, Holmes W, Bui H, Sanders P, Siddall P, Wei T, Thomas M, Kuo MS, Eckel R. Intramuscular triglyceride </w:t>
      </w:r>
      <w:r>
        <w:rPr>
          <w:rFonts w:cs="Arial"/>
          <w:szCs w:val="22"/>
        </w:rPr>
        <w:tab/>
      </w:r>
      <w:r w:rsidR="00522317" w:rsidRPr="00976288">
        <w:rPr>
          <w:rFonts w:cs="Arial"/>
          <w:szCs w:val="22"/>
        </w:rPr>
        <w:t xml:space="preserve">synthesis- importance in trafficking muscle lipids in humans. American Journal of Physiology-Endocrinology </w:t>
      </w:r>
      <w:r>
        <w:rPr>
          <w:rFonts w:cs="Arial"/>
          <w:szCs w:val="22"/>
        </w:rPr>
        <w:tab/>
      </w:r>
      <w:r w:rsidR="00522317" w:rsidRPr="00976288">
        <w:rPr>
          <w:rFonts w:cs="Arial"/>
          <w:szCs w:val="22"/>
        </w:rPr>
        <w:t xml:space="preserve">and Metabolism. 2017. </w:t>
      </w:r>
      <w:r w:rsidR="00522317" w:rsidRPr="00303F2F">
        <w:rPr>
          <w:rFonts w:cs="Arial"/>
          <w:i/>
          <w:szCs w:val="22"/>
        </w:rPr>
        <w:t>Am J Physiol Endocrinol Metab.</w:t>
      </w:r>
      <w:r w:rsidR="00522317" w:rsidRPr="00976288">
        <w:rPr>
          <w:rFonts w:cs="Arial"/>
          <w:szCs w:val="22"/>
        </w:rPr>
        <w:t xml:space="preserve"> 201</w:t>
      </w:r>
      <w:r w:rsidR="006F7C58">
        <w:rPr>
          <w:rFonts w:cs="Arial"/>
          <w:szCs w:val="22"/>
        </w:rPr>
        <w:t xml:space="preserve">8; 314(2): E152-64. </w:t>
      </w:r>
      <w:r w:rsidR="00B53799" w:rsidRPr="00976288">
        <w:rPr>
          <w:rFonts w:cs="Arial"/>
          <w:szCs w:val="22"/>
        </w:rPr>
        <w:t xml:space="preserve"> </w:t>
      </w:r>
      <w:r w:rsidR="00522317" w:rsidRPr="00303F2F">
        <w:rPr>
          <w:rFonts w:cs="Arial"/>
          <w:szCs w:val="22"/>
          <w:u w:val="single"/>
        </w:rPr>
        <w:t>PMCID: PMC5866414</w:t>
      </w:r>
    </w:p>
    <w:p w14:paraId="0F76A212" w14:textId="4460B45B" w:rsidR="00522317" w:rsidRDefault="00666195" w:rsidP="00CB12A7">
      <w:pPr>
        <w:pStyle w:val="ListParagraph"/>
        <w:tabs>
          <w:tab w:val="left" w:pos="270"/>
        </w:tabs>
        <w:spacing w:after="120"/>
        <w:ind w:left="0"/>
        <w:rPr>
          <w:szCs w:val="22"/>
        </w:rPr>
      </w:pPr>
      <w:r>
        <w:rPr>
          <w:rFonts w:cs="Arial"/>
          <w:szCs w:val="22"/>
        </w:rPr>
        <w:t xml:space="preserve">c) </w:t>
      </w:r>
      <w:r w:rsidR="00522317" w:rsidRPr="004027CB">
        <w:rPr>
          <w:szCs w:val="22"/>
        </w:rPr>
        <w:t xml:space="preserve">Perreault L, Bergman BC, </w:t>
      </w:r>
      <w:r w:rsidR="00522317" w:rsidRPr="004027CB">
        <w:rPr>
          <w:b/>
          <w:szCs w:val="22"/>
        </w:rPr>
        <w:t>Playdon MC</w:t>
      </w:r>
      <w:r w:rsidR="00522317" w:rsidRPr="004027CB">
        <w:rPr>
          <w:szCs w:val="22"/>
        </w:rPr>
        <w:t xml:space="preserve">, Man CD, Cobelli C, Eckel RH. Impaired fasting glucose with or </w:t>
      </w:r>
      <w:r>
        <w:rPr>
          <w:szCs w:val="22"/>
        </w:rPr>
        <w:tab/>
      </w:r>
      <w:r w:rsidR="00522317" w:rsidRPr="004027CB">
        <w:rPr>
          <w:szCs w:val="22"/>
        </w:rPr>
        <w:t xml:space="preserve">without impaired glucose tolerance: progressive or parallel states of prediabetes? </w:t>
      </w:r>
      <w:r w:rsidR="00522317" w:rsidRPr="00303F2F">
        <w:rPr>
          <w:i/>
          <w:szCs w:val="22"/>
        </w:rPr>
        <w:t>Am J Physiol</w:t>
      </w:r>
      <w:r w:rsidR="004E3B65">
        <w:rPr>
          <w:i/>
          <w:szCs w:val="22"/>
        </w:rPr>
        <w:t xml:space="preserve"> </w:t>
      </w:r>
      <w:r w:rsidR="00522317" w:rsidRPr="00303F2F">
        <w:rPr>
          <w:i/>
          <w:szCs w:val="22"/>
        </w:rPr>
        <w:t>Endoc</w:t>
      </w:r>
      <w:r w:rsidR="004E3B65">
        <w:rPr>
          <w:i/>
          <w:szCs w:val="22"/>
        </w:rPr>
        <w:t>rinol</w:t>
      </w:r>
      <w:r w:rsidR="00522317" w:rsidRPr="00303F2F">
        <w:rPr>
          <w:i/>
          <w:szCs w:val="22"/>
        </w:rPr>
        <w:t xml:space="preserve"> </w:t>
      </w:r>
      <w:r>
        <w:rPr>
          <w:i/>
          <w:szCs w:val="22"/>
        </w:rPr>
        <w:tab/>
      </w:r>
      <w:r w:rsidR="00522317" w:rsidRPr="00303F2F">
        <w:rPr>
          <w:i/>
          <w:szCs w:val="22"/>
        </w:rPr>
        <w:t>M</w:t>
      </w:r>
      <w:r w:rsidR="004E3B65">
        <w:rPr>
          <w:i/>
          <w:szCs w:val="22"/>
        </w:rPr>
        <w:t>etab</w:t>
      </w:r>
      <w:r w:rsidR="00522317" w:rsidRPr="00303F2F">
        <w:rPr>
          <w:i/>
          <w:szCs w:val="22"/>
        </w:rPr>
        <w:t xml:space="preserve">. </w:t>
      </w:r>
      <w:r w:rsidR="00522317" w:rsidRPr="004027CB">
        <w:rPr>
          <w:szCs w:val="22"/>
        </w:rPr>
        <w:t>2008;</w:t>
      </w:r>
      <w:r w:rsidR="004E3B65">
        <w:rPr>
          <w:szCs w:val="22"/>
        </w:rPr>
        <w:t xml:space="preserve"> </w:t>
      </w:r>
      <w:r w:rsidR="00522317" w:rsidRPr="004027CB">
        <w:rPr>
          <w:szCs w:val="22"/>
        </w:rPr>
        <w:t>295(2):E428-E35.</w:t>
      </w:r>
      <w:r w:rsidR="00522317" w:rsidRPr="00303F2F">
        <w:rPr>
          <w:szCs w:val="22"/>
          <w:u w:val="single"/>
        </w:rPr>
        <w:t xml:space="preserve"> PMCID: PMC2519761</w:t>
      </w:r>
    </w:p>
    <w:p w14:paraId="4A6EB5E9" w14:textId="6BFE9169" w:rsidR="00666195" w:rsidRDefault="00666195" w:rsidP="00CB12A7">
      <w:pPr>
        <w:pStyle w:val="BodyTextIndent"/>
        <w:tabs>
          <w:tab w:val="left" w:pos="630"/>
        </w:tabs>
        <w:autoSpaceDE/>
        <w:autoSpaceDN/>
        <w:spacing w:after="120"/>
        <w:ind w:left="0"/>
        <w:jc w:val="left"/>
        <w:rPr>
          <w:color w:val="auto"/>
          <w:sz w:val="22"/>
          <w:szCs w:val="22"/>
        </w:rPr>
      </w:pPr>
      <w:r w:rsidRPr="00666195">
        <w:rPr>
          <w:color w:val="auto"/>
          <w:sz w:val="22"/>
          <w:szCs w:val="22"/>
        </w:rPr>
        <w:t>My expertise in molecular epidemiology has translated to research being conducted at University of Utah to explore the role of ceramides in cardiometabolic disease</w:t>
      </w:r>
      <w:r w:rsidR="00F508FA">
        <w:rPr>
          <w:color w:val="auto"/>
          <w:sz w:val="22"/>
          <w:szCs w:val="22"/>
        </w:rPr>
        <w:t xml:space="preserve"> with </w:t>
      </w:r>
      <w:r w:rsidR="00F508FA" w:rsidRPr="00F508FA">
        <w:rPr>
          <w:color w:val="auto"/>
          <w:sz w:val="22"/>
          <w:szCs w:val="22"/>
          <w:u w:val="single"/>
        </w:rPr>
        <w:t>MPI Scott Summers</w:t>
      </w:r>
      <w:r w:rsidRPr="00666195">
        <w:rPr>
          <w:color w:val="auto"/>
          <w:sz w:val="22"/>
          <w:szCs w:val="22"/>
        </w:rPr>
        <w:t>. We utilized machine learning approaches to identify a biomarker panel of sphingolipids (including ceramides) that predicts coronary artery disease more robustly that existing clinical risk markers</w:t>
      </w:r>
      <w:r w:rsidR="00737A19">
        <w:rPr>
          <w:color w:val="auto"/>
          <w:sz w:val="22"/>
          <w:szCs w:val="22"/>
        </w:rPr>
        <w:t xml:space="preserve"> </w:t>
      </w:r>
      <w:r w:rsidR="00737A19">
        <w:rPr>
          <w:b/>
          <w:color w:val="auto"/>
          <w:szCs w:val="22"/>
        </w:rPr>
        <w:t>[d</w:t>
      </w:r>
      <w:r w:rsidR="00737A19" w:rsidRPr="00737A19">
        <w:rPr>
          <w:b/>
          <w:color w:val="auto"/>
          <w:szCs w:val="22"/>
        </w:rPr>
        <w:t>]</w:t>
      </w:r>
      <w:r w:rsidRPr="00737A19">
        <w:rPr>
          <w:color w:val="auto"/>
          <w:sz w:val="22"/>
          <w:szCs w:val="22"/>
        </w:rPr>
        <w:t xml:space="preserve">. </w:t>
      </w:r>
    </w:p>
    <w:p w14:paraId="2A945318" w14:textId="7E6F5066" w:rsidR="00666195" w:rsidRPr="00303F2F" w:rsidRDefault="006F7C58" w:rsidP="00CB12A7">
      <w:pPr>
        <w:pStyle w:val="BodyTextIndent"/>
        <w:tabs>
          <w:tab w:val="left" w:pos="270"/>
          <w:tab w:val="left" w:pos="630"/>
        </w:tabs>
        <w:autoSpaceDE/>
        <w:autoSpaceDN/>
        <w:spacing w:after="120"/>
        <w:ind w:left="0"/>
        <w:jc w:val="left"/>
        <w:rPr>
          <w:color w:val="auto"/>
          <w:sz w:val="22"/>
          <w:szCs w:val="22"/>
          <w:u w:val="single"/>
        </w:rPr>
      </w:pPr>
      <w:r>
        <w:rPr>
          <w:color w:val="auto"/>
          <w:sz w:val="22"/>
          <w:szCs w:val="22"/>
        </w:rPr>
        <w:t xml:space="preserve">d) </w:t>
      </w:r>
      <w:r w:rsidR="009000BC">
        <w:rPr>
          <w:color w:val="auto"/>
          <w:sz w:val="22"/>
          <w:szCs w:val="22"/>
        </w:rPr>
        <w:t xml:space="preserve">Poss A, Maschek JA, Cox JE, Hauner BJ, Hopkins PN, Hunt SC, Holland WL, Summers SA, </w:t>
      </w:r>
      <w:r w:rsidR="009000BC" w:rsidRPr="00B53799">
        <w:rPr>
          <w:b/>
          <w:bCs/>
          <w:color w:val="auto"/>
          <w:sz w:val="22"/>
          <w:szCs w:val="22"/>
        </w:rPr>
        <w:t>Playdon MC</w:t>
      </w:r>
      <w:r w:rsidR="009000BC">
        <w:rPr>
          <w:color w:val="auto"/>
          <w:sz w:val="22"/>
          <w:szCs w:val="22"/>
        </w:rPr>
        <w:t xml:space="preserve">. </w:t>
      </w:r>
      <w:r w:rsidR="00666195">
        <w:rPr>
          <w:color w:val="auto"/>
          <w:sz w:val="22"/>
          <w:szCs w:val="22"/>
        </w:rPr>
        <w:tab/>
      </w:r>
      <w:r w:rsidR="009000BC" w:rsidRPr="009000BC">
        <w:rPr>
          <w:color w:val="auto"/>
          <w:sz w:val="22"/>
          <w:szCs w:val="22"/>
        </w:rPr>
        <w:t xml:space="preserve">Machine Learning Reveals Serum Sphingolipids as Cholesterol-Independent Biomarkers of Coronary Artery </w:t>
      </w:r>
      <w:r w:rsidR="00666195">
        <w:rPr>
          <w:color w:val="auto"/>
          <w:sz w:val="22"/>
          <w:szCs w:val="22"/>
        </w:rPr>
        <w:tab/>
      </w:r>
      <w:r w:rsidR="009000BC" w:rsidRPr="009000BC">
        <w:rPr>
          <w:color w:val="auto"/>
          <w:sz w:val="22"/>
          <w:szCs w:val="22"/>
        </w:rPr>
        <w:t>Disease</w:t>
      </w:r>
      <w:r w:rsidR="009000BC">
        <w:rPr>
          <w:color w:val="auto"/>
          <w:sz w:val="22"/>
          <w:szCs w:val="22"/>
        </w:rPr>
        <w:t xml:space="preserve">. </w:t>
      </w:r>
      <w:r w:rsidR="004E3B65">
        <w:rPr>
          <w:i/>
          <w:color w:val="auto"/>
          <w:sz w:val="22"/>
          <w:szCs w:val="22"/>
        </w:rPr>
        <w:t>J Clin Invest.</w:t>
      </w:r>
      <w:r w:rsidR="009000BC">
        <w:rPr>
          <w:color w:val="auto"/>
          <w:sz w:val="22"/>
          <w:szCs w:val="22"/>
        </w:rPr>
        <w:t xml:space="preserve"> 20</w:t>
      </w:r>
      <w:r w:rsidR="004E3B65">
        <w:rPr>
          <w:color w:val="auto"/>
          <w:sz w:val="22"/>
          <w:szCs w:val="22"/>
        </w:rPr>
        <w:t xml:space="preserve">20; 130(3): 1363-76. </w:t>
      </w:r>
      <w:r w:rsidR="004E3B65">
        <w:rPr>
          <w:color w:val="auto"/>
          <w:sz w:val="22"/>
          <w:szCs w:val="22"/>
          <w:u w:val="single"/>
        </w:rPr>
        <w:t>PMCID: PMC7269567</w:t>
      </w:r>
    </w:p>
    <w:p w14:paraId="5BB8C337" w14:textId="7B280241" w:rsidR="00FC5F9E" w:rsidRPr="00672DB7" w:rsidRDefault="00D013F8" w:rsidP="00CB12A7">
      <w:pPr>
        <w:pStyle w:val="BodyTextIndent"/>
        <w:tabs>
          <w:tab w:val="left" w:pos="270"/>
          <w:tab w:val="left" w:pos="630"/>
        </w:tabs>
        <w:autoSpaceDE/>
        <w:autoSpaceDN/>
        <w:spacing w:after="120"/>
        <w:ind w:left="0"/>
        <w:jc w:val="left"/>
        <w:rPr>
          <w:rStyle w:val="Strong"/>
          <w:b w:val="0"/>
          <w:bCs w:val="0"/>
          <w:color w:val="auto"/>
          <w:sz w:val="22"/>
          <w:szCs w:val="22"/>
        </w:rPr>
      </w:pPr>
      <w:r w:rsidRPr="00522317">
        <w:rPr>
          <w:b/>
          <w:bCs/>
          <w:color w:val="auto"/>
          <w:sz w:val="22"/>
          <w:szCs w:val="22"/>
        </w:rPr>
        <w:t>Complete List of Published Work</w:t>
      </w:r>
      <w:r w:rsidR="00522317" w:rsidRPr="00522317">
        <w:rPr>
          <w:b/>
          <w:bCs/>
          <w:color w:val="auto"/>
          <w:sz w:val="22"/>
          <w:szCs w:val="22"/>
        </w:rPr>
        <w:t xml:space="preserve"> </w:t>
      </w:r>
      <w:r w:rsidR="004E3B65">
        <w:rPr>
          <w:b/>
          <w:bCs/>
          <w:color w:val="auto"/>
          <w:sz w:val="22"/>
          <w:szCs w:val="22"/>
        </w:rPr>
        <w:t>in MyBibliography</w:t>
      </w:r>
      <w:r w:rsidRPr="00522317">
        <w:rPr>
          <w:b/>
          <w:bCs/>
          <w:color w:val="auto"/>
          <w:sz w:val="22"/>
          <w:szCs w:val="22"/>
        </w:rPr>
        <w:t xml:space="preserve">: </w:t>
      </w:r>
      <w:hyperlink r:id="rId10" w:history="1">
        <w:r w:rsidR="00737A19" w:rsidRPr="00AF65B9">
          <w:rPr>
            <w:rStyle w:val="Hyperlink"/>
          </w:rPr>
          <w:t>https://www.ncbi.nlm.nih.gov/myncbi/1XMxyScgxQoAu/bibliography/public/</w:t>
        </w:r>
      </w:hyperlink>
    </w:p>
    <w:sectPr w:rsidR="00FC5F9E" w:rsidRPr="00672DB7"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F68AC" w14:textId="77777777" w:rsidR="00F4518D" w:rsidRDefault="00F4518D">
      <w:r>
        <w:separator/>
      </w:r>
    </w:p>
  </w:endnote>
  <w:endnote w:type="continuationSeparator" w:id="0">
    <w:p w14:paraId="609F8B60" w14:textId="77777777" w:rsidR="00F4518D" w:rsidRDefault="00F4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DEEF" w14:textId="77777777" w:rsidR="00F4518D" w:rsidRDefault="00F4518D">
      <w:r>
        <w:separator/>
      </w:r>
    </w:p>
  </w:footnote>
  <w:footnote w:type="continuationSeparator" w:id="0">
    <w:p w14:paraId="7F626B00" w14:textId="77777777" w:rsidR="00F4518D" w:rsidRDefault="00F45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17F3A"/>
    <w:multiLevelType w:val="hybridMultilevel"/>
    <w:tmpl w:val="32A2CF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2E6160"/>
    <w:multiLevelType w:val="hybridMultilevel"/>
    <w:tmpl w:val="673841D8"/>
    <w:lvl w:ilvl="0" w:tplc="638A1A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716701"/>
    <w:multiLevelType w:val="hybridMultilevel"/>
    <w:tmpl w:val="367CA022"/>
    <w:lvl w:ilvl="0" w:tplc="98742E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45065B"/>
    <w:multiLevelType w:val="hybridMultilevel"/>
    <w:tmpl w:val="07D60724"/>
    <w:lvl w:ilvl="0" w:tplc="6C5A1C92">
      <w:start w:val="1"/>
      <w:numFmt w:val="low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566A86"/>
    <w:multiLevelType w:val="hybridMultilevel"/>
    <w:tmpl w:val="74BCD678"/>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922CD"/>
    <w:multiLevelType w:val="hybridMultilevel"/>
    <w:tmpl w:val="9C24BD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0801C1"/>
    <w:multiLevelType w:val="hybridMultilevel"/>
    <w:tmpl w:val="554CD8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0027E"/>
    <w:multiLevelType w:val="hybridMultilevel"/>
    <w:tmpl w:val="01903432"/>
    <w:lvl w:ilvl="0" w:tplc="28F6D286">
      <w:start w:val="2"/>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841DEF"/>
    <w:multiLevelType w:val="hybridMultilevel"/>
    <w:tmpl w:val="C84EE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05092"/>
    <w:multiLevelType w:val="hybridMultilevel"/>
    <w:tmpl w:val="F9364C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FA61B0"/>
    <w:multiLevelType w:val="hybridMultilevel"/>
    <w:tmpl w:val="6D02723C"/>
    <w:lvl w:ilvl="0" w:tplc="232EE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B3213A"/>
    <w:multiLevelType w:val="hybridMultilevel"/>
    <w:tmpl w:val="F978FB6A"/>
    <w:lvl w:ilvl="0" w:tplc="F9BA08D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C20C7A"/>
    <w:multiLevelType w:val="hybridMultilevel"/>
    <w:tmpl w:val="58ECF0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F5DD6"/>
    <w:multiLevelType w:val="hybridMultilevel"/>
    <w:tmpl w:val="A4F83230"/>
    <w:lvl w:ilvl="0" w:tplc="F53E17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27F23"/>
    <w:multiLevelType w:val="hybridMultilevel"/>
    <w:tmpl w:val="05829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D4692"/>
    <w:multiLevelType w:val="hybridMultilevel"/>
    <w:tmpl w:val="86F85BDE"/>
    <w:lvl w:ilvl="0" w:tplc="071293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266DEE"/>
    <w:multiLevelType w:val="hybridMultilevel"/>
    <w:tmpl w:val="10F00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15:restartNumberingAfterBreak="0">
    <w:nsid w:val="4DF7395B"/>
    <w:multiLevelType w:val="hybridMultilevel"/>
    <w:tmpl w:val="D4287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111A96"/>
    <w:multiLevelType w:val="hybridMultilevel"/>
    <w:tmpl w:val="D472C206"/>
    <w:lvl w:ilvl="0" w:tplc="675EFFE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5A110B"/>
    <w:multiLevelType w:val="hybridMultilevel"/>
    <w:tmpl w:val="AE965E82"/>
    <w:lvl w:ilvl="0" w:tplc="1884F0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351BD"/>
    <w:multiLevelType w:val="hybridMultilevel"/>
    <w:tmpl w:val="E9F89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F2229"/>
    <w:multiLevelType w:val="hybridMultilevel"/>
    <w:tmpl w:val="8A36A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A7326"/>
    <w:multiLevelType w:val="hybridMultilevel"/>
    <w:tmpl w:val="95E603C6"/>
    <w:lvl w:ilvl="0" w:tplc="43B27D9E">
      <w:start w:val="2"/>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A48B7"/>
    <w:multiLevelType w:val="hybridMultilevel"/>
    <w:tmpl w:val="AD7E6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E2246"/>
    <w:multiLevelType w:val="hybridMultilevel"/>
    <w:tmpl w:val="F9364C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D622F3"/>
    <w:multiLevelType w:val="hybridMultilevel"/>
    <w:tmpl w:val="05829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4" w15:restartNumberingAfterBreak="0">
    <w:nsid w:val="75144C75"/>
    <w:multiLevelType w:val="hybridMultilevel"/>
    <w:tmpl w:val="AD7E6A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E169C"/>
    <w:multiLevelType w:val="hybridMultilevel"/>
    <w:tmpl w:val="445C0012"/>
    <w:lvl w:ilvl="0" w:tplc="AE441A7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31"/>
  </w:num>
  <w:num w:numId="13">
    <w:abstractNumId w:val="12"/>
  </w:num>
  <w:num w:numId="14">
    <w:abstractNumId w:val="43"/>
  </w:num>
  <w:num w:numId="15">
    <w:abstractNumId w:val="38"/>
  </w:num>
  <w:num w:numId="16">
    <w:abstractNumId w:val="42"/>
  </w:num>
  <w:num w:numId="17">
    <w:abstractNumId w:val="10"/>
  </w:num>
  <w:num w:numId="18">
    <w:abstractNumId w:val="21"/>
  </w:num>
  <w:num w:numId="19">
    <w:abstractNumId w:val="30"/>
  </w:num>
  <w:num w:numId="20">
    <w:abstractNumId w:val="13"/>
  </w:num>
  <w:num w:numId="21">
    <w:abstractNumId w:val="44"/>
  </w:num>
  <w:num w:numId="22">
    <w:abstractNumId w:val="35"/>
  </w:num>
  <w:num w:numId="23">
    <w:abstractNumId w:val="20"/>
  </w:num>
  <w:num w:numId="24">
    <w:abstractNumId w:val="41"/>
  </w:num>
  <w:num w:numId="25">
    <w:abstractNumId w:val="28"/>
  </w:num>
  <w:num w:numId="26">
    <w:abstractNumId w:val="37"/>
  </w:num>
  <w:num w:numId="27">
    <w:abstractNumId w:val="17"/>
  </w:num>
  <w:num w:numId="28">
    <w:abstractNumId w:val="26"/>
  </w:num>
  <w:num w:numId="29">
    <w:abstractNumId w:val="45"/>
  </w:num>
  <w:num w:numId="30">
    <w:abstractNumId w:val="39"/>
  </w:num>
  <w:num w:numId="31">
    <w:abstractNumId w:val="33"/>
  </w:num>
  <w:num w:numId="32">
    <w:abstractNumId w:val="24"/>
  </w:num>
  <w:num w:numId="33">
    <w:abstractNumId w:val="16"/>
  </w:num>
  <w:num w:numId="34">
    <w:abstractNumId w:val="29"/>
  </w:num>
  <w:num w:numId="35">
    <w:abstractNumId w:val="15"/>
  </w:num>
  <w:num w:numId="36">
    <w:abstractNumId w:val="14"/>
  </w:num>
  <w:num w:numId="37">
    <w:abstractNumId w:val="36"/>
  </w:num>
  <w:num w:numId="38">
    <w:abstractNumId w:val="27"/>
  </w:num>
  <w:num w:numId="39">
    <w:abstractNumId w:val="19"/>
  </w:num>
  <w:num w:numId="40">
    <w:abstractNumId w:val="32"/>
  </w:num>
  <w:num w:numId="41">
    <w:abstractNumId w:val="23"/>
  </w:num>
  <w:num w:numId="42">
    <w:abstractNumId w:val="34"/>
  </w:num>
  <w:num w:numId="43">
    <w:abstractNumId w:val="11"/>
  </w:num>
  <w:num w:numId="44">
    <w:abstractNumId w:val="18"/>
  </w:num>
  <w:num w:numId="45">
    <w:abstractNumId w:val="40"/>
  </w:num>
  <w:num w:numId="46">
    <w:abstractNumId w:val="2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2F7F"/>
    <w:rsid w:val="00007231"/>
    <w:rsid w:val="00012D73"/>
    <w:rsid w:val="00023A7A"/>
    <w:rsid w:val="0004476F"/>
    <w:rsid w:val="00057101"/>
    <w:rsid w:val="00061604"/>
    <w:rsid w:val="00067621"/>
    <w:rsid w:val="000754DA"/>
    <w:rsid w:val="00082AF0"/>
    <w:rsid w:val="00084466"/>
    <w:rsid w:val="000865AF"/>
    <w:rsid w:val="00087C8D"/>
    <w:rsid w:val="00097328"/>
    <w:rsid w:val="000D085A"/>
    <w:rsid w:val="000D6D2B"/>
    <w:rsid w:val="000E3BEC"/>
    <w:rsid w:val="00105614"/>
    <w:rsid w:val="00116FFB"/>
    <w:rsid w:val="00122EB3"/>
    <w:rsid w:val="00132549"/>
    <w:rsid w:val="00132CA6"/>
    <w:rsid w:val="00142231"/>
    <w:rsid w:val="0014571A"/>
    <w:rsid w:val="00162B53"/>
    <w:rsid w:val="00170D87"/>
    <w:rsid w:val="00175743"/>
    <w:rsid w:val="00176A2C"/>
    <w:rsid w:val="00177D49"/>
    <w:rsid w:val="00183022"/>
    <w:rsid w:val="00195AAF"/>
    <w:rsid w:val="00195AEB"/>
    <w:rsid w:val="00197C72"/>
    <w:rsid w:val="001B164F"/>
    <w:rsid w:val="001C065C"/>
    <w:rsid w:val="001C3E07"/>
    <w:rsid w:val="002061D5"/>
    <w:rsid w:val="00232AD8"/>
    <w:rsid w:val="00245627"/>
    <w:rsid w:val="002506F6"/>
    <w:rsid w:val="002523A4"/>
    <w:rsid w:val="002561A0"/>
    <w:rsid w:val="0028051C"/>
    <w:rsid w:val="00284BE1"/>
    <w:rsid w:val="002A0AFC"/>
    <w:rsid w:val="002A1F94"/>
    <w:rsid w:val="002A70D9"/>
    <w:rsid w:val="002B7443"/>
    <w:rsid w:val="002C4808"/>
    <w:rsid w:val="002C51BC"/>
    <w:rsid w:val="002C63F6"/>
    <w:rsid w:val="002D7520"/>
    <w:rsid w:val="002E2CA2"/>
    <w:rsid w:val="002E5125"/>
    <w:rsid w:val="002E6FCE"/>
    <w:rsid w:val="002F0105"/>
    <w:rsid w:val="002F42D6"/>
    <w:rsid w:val="00303F2F"/>
    <w:rsid w:val="00307C9E"/>
    <w:rsid w:val="00321A19"/>
    <w:rsid w:val="00336E57"/>
    <w:rsid w:val="0034030B"/>
    <w:rsid w:val="003454E2"/>
    <w:rsid w:val="00345ED3"/>
    <w:rsid w:val="0035045F"/>
    <w:rsid w:val="0037667F"/>
    <w:rsid w:val="00382AB6"/>
    <w:rsid w:val="00383712"/>
    <w:rsid w:val="003A556B"/>
    <w:rsid w:val="003C2647"/>
    <w:rsid w:val="003C3CA5"/>
    <w:rsid w:val="003C62D6"/>
    <w:rsid w:val="003D2399"/>
    <w:rsid w:val="003E4A92"/>
    <w:rsid w:val="003E6BA9"/>
    <w:rsid w:val="003F45B6"/>
    <w:rsid w:val="003F6A45"/>
    <w:rsid w:val="003F6B5D"/>
    <w:rsid w:val="0040289D"/>
    <w:rsid w:val="00432346"/>
    <w:rsid w:val="00433DA9"/>
    <w:rsid w:val="00447F3A"/>
    <w:rsid w:val="00454390"/>
    <w:rsid w:val="00474A5A"/>
    <w:rsid w:val="004759D9"/>
    <w:rsid w:val="00486792"/>
    <w:rsid w:val="0049068A"/>
    <w:rsid w:val="00492A90"/>
    <w:rsid w:val="00493D23"/>
    <w:rsid w:val="00497503"/>
    <w:rsid w:val="004A0859"/>
    <w:rsid w:val="004A3FC8"/>
    <w:rsid w:val="004B2D0B"/>
    <w:rsid w:val="004B39F2"/>
    <w:rsid w:val="004B5079"/>
    <w:rsid w:val="004C60B5"/>
    <w:rsid w:val="004C669C"/>
    <w:rsid w:val="004D298D"/>
    <w:rsid w:val="004D3B6E"/>
    <w:rsid w:val="004E3B65"/>
    <w:rsid w:val="00500E97"/>
    <w:rsid w:val="00503B57"/>
    <w:rsid w:val="005145BB"/>
    <w:rsid w:val="00517BFD"/>
    <w:rsid w:val="00522317"/>
    <w:rsid w:val="00525109"/>
    <w:rsid w:val="00525F7A"/>
    <w:rsid w:val="0053008E"/>
    <w:rsid w:val="0054471F"/>
    <w:rsid w:val="005461F3"/>
    <w:rsid w:val="00547118"/>
    <w:rsid w:val="00547AC9"/>
    <w:rsid w:val="005501B2"/>
    <w:rsid w:val="00592740"/>
    <w:rsid w:val="005A6D49"/>
    <w:rsid w:val="005A73B9"/>
    <w:rsid w:val="005A77F4"/>
    <w:rsid w:val="005A7F6F"/>
    <w:rsid w:val="005C2BDD"/>
    <w:rsid w:val="005C2CF8"/>
    <w:rsid w:val="005C47A8"/>
    <w:rsid w:val="005C5B7E"/>
    <w:rsid w:val="005E16A5"/>
    <w:rsid w:val="005E381C"/>
    <w:rsid w:val="005E406E"/>
    <w:rsid w:val="005E4463"/>
    <w:rsid w:val="005F0B12"/>
    <w:rsid w:val="005F4F30"/>
    <w:rsid w:val="005F5F51"/>
    <w:rsid w:val="005F7032"/>
    <w:rsid w:val="00601C69"/>
    <w:rsid w:val="006112DE"/>
    <w:rsid w:val="00614FB5"/>
    <w:rsid w:val="00616BCC"/>
    <w:rsid w:val="0062082E"/>
    <w:rsid w:val="00624261"/>
    <w:rsid w:val="006350A1"/>
    <w:rsid w:val="00646AF9"/>
    <w:rsid w:val="00652E11"/>
    <w:rsid w:val="00656AB8"/>
    <w:rsid w:val="006609B6"/>
    <w:rsid w:val="00666195"/>
    <w:rsid w:val="0066680E"/>
    <w:rsid w:val="00672450"/>
    <w:rsid w:val="00672DB7"/>
    <w:rsid w:val="00681554"/>
    <w:rsid w:val="00682B55"/>
    <w:rsid w:val="0068699D"/>
    <w:rsid w:val="00693C35"/>
    <w:rsid w:val="006A353C"/>
    <w:rsid w:val="006A56FC"/>
    <w:rsid w:val="006A72AC"/>
    <w:rsid w:val="006B0DFF"/>
    <w:rsid w:val="006B2D1C"/>
    <w:rsid w:val="006C106E"/>
    <w:rsid w:val="006C1E1F"/>
    <w:rsid w:val="006D5C1E"/>
    <w:rsid w:val="006E3EBC"/>
    <w:rsid w:val="006E6FB5"/>
    <w:rsid w:val="006F7C58"/>
    <w:rsid w:val="007050F5"/>
    <w:rsid w:val="0071140F"/>
    <w:rsid w:val="00722C8F"/>
    <w:rsid w:val="0072522A"/>
    <w:rsid w:val="00737A19"/>
    <w:rsid w:val="00763DE9"/>
    <w:rsid w:val="00780DE8"/>
    <w:rsid w:val="00781234"/>
    <w:rsid w:val="00785C12"/>
    <w:rsid w:val="007A5845"/>
    <w:rsid w:val="007B030C"/>
    <w:rsid w:val="007B45F0"/>
    <w:rsid w:val="007B7AF3"/>
    <w:rsid w:val="007C4486"/>
    <w:rsid w:val="007D7256"/>
    <w:rsid w:val="007E06E0"/>
    <w:rsid w:val="007E1B65"/>
    <w:rsid w:val="007E301F"/>
    <w:rsid w:val="008073EB"/>
    <w:rsid w:val="00815D9F"/>
    <w:rsid w:val="00822AAF"/>
    <w:rsid w:val="00843027"/>
    <w:rsid w:val="00873917"/>
    <w:rsid w:val="00874EBC"/>
    <w:rsid w:val="0087514A"/>
    <w:rsid w:val="00881B60"/>
    <w:rsid w:val="00890CA9"/>
    <w:rsid w:val="008A39F1"/>
    <w:rsid w:val="008B4A45"/>
    <w:rsid w:val="008C0A79"/>
    <w:rsid w:val="008C3F70"/>
    <w:rsid w:val="008C7D77"/>
    <w:rsid w:val="009000BC"/>
    <w:rsid w:val="009119EA"/>
    <w:rsid w:val="009211D3"/>
    <w:rsid w:val="00923125"/>
    <w:rsid w:val="0092337B"/>
    <w:rsid w:val="00931389"/>
    <w:rsid w:val="00933173"/>
    <w:rsid w:val="00934124"/>
    <w:rsid w:val="00936D02"/>
    <w:rsid w:val="009421B4"/>
    <w:rsid w:val="00952A27"/>
    <w:rsid w:val="00952D4C"/>
    <w:rsid w:val="00954382"/>
    <w:rsid w:val="0096038E"/>
    <w:rsid w:val="0096482E"/>
    <w:rsid w:val="00970360"/>
    <w:rsid w:val="00976288"/>
    <w:rsid w:val="00977FA5"/>
    <w:rsid w:val="009B1DD3"/>
    <w:rsid w:val="009B76D8"/>
    <w:rsid w:val="009D7DCE"/>
    <w:rsid w:val="009D7E97"/>
    <w:rsid w:val="009E2B7D"/>
    <w:rsid w:val="009E52CA"/>
    <w:rsid w:val="009F72E5"/>
    <w:rsid w:val="00A00A9A"/>
    <w:rsid w:val="00A03FFA"/>
    <w:rsid w:val="00A04942"/>
    <w:rsid w:val="00A04B52"/>
    <w:rsid w:val="00A06721"/>
    <w:rsid w:val="00A10978"/>
    <w:rsid w:val="00A1469B"/>
    <w:rsid w:val="00A14EF5"/>
    <w:rsid w:val="00A1506D"/>
    <w:rsid w:val="00A17DB8"/>
    <w:rsid w:val="00A26D0F"/>
    <w:rsid w:val="00A30FAA"/>
    <w:rsid w:val="00A336A1"/>
    <w:rsid w:val="00A42D9B"/>
    <w:rsid w:val="00A50A8B"/>
    <w:rsid w:val="00A55D1D"/>
    <w:rsid w:val="00A5618F"/>
    <w:rsid w:val="00A63D7C"/>
    <w:rsid w:val="00A7514C"/>
    <w:rsid w:val="00A755FC"/>
    <w:rsid w:val="00A75AD3"/>
    <w:rsid w:val="00A8122C"/>
    <w:rsid w:val="00A83312"/>
    <w:rsid w:val="00A85972"/>
    <w:rsid w:val="00A8771A"/>
    <w:rsid w:val="00AB1EB5"/>
    <w:rsid w:val="00AB7299"/>
    <w:rsid w:val="00AD0505"/>
    <w:rsid w:val="00AD243E"/>
    <w:rsid w:val="00AE41C4"/>
    <w:rsid w:val="00AF13B9"/>
    <w:rsid w:val="00B042F6"/>
    <w:rsid w:val="00B05B9B"/>
    <w:rsid w:val="00B1618B"/>
    <w:rsid w:val="00B207B4"/>
    <w:rsid w:val="00B53799"/>
    <w:rsid w:val="00B7168E"/>
    <w:rsid w:val="00B76DAD"/>
    <w:rsid w:val="00B827ED"/>
    <w:rsid w:val="00BB0F36"/>
    <w:rsid w:val="00BC0BF1"/>
    <w:rsid w:val="00BE14BF"/>
    <w:rsid w:val="00BF76AD"/>
    <w:rsid w:val="00C05C2E"/>
    <w:rsid w:val="00C05C55"/>
    <w:rsid w:val="00C05DE2"/>
    <w:rsid w:val="00C076C6"/>
    <w:rsid w:val="00C1247F"/>
    <w:rsid w:val="00C137DA"/>
    <w:rsid w:val="00C20F69"/>
    <w:rsid w:val="00C26110"/>
    <w:rsid w:val="00C3105F"/>
    <w:rsid w:val="00C3113F"/>
    <w:rsid w:val="00C4536F"/>
    <w:rsid w:val="00C46ADA"/>
    <w:rsid w:val="00C47775"/>
    <w:rsid w:val="00C53836"/>
    <w:rsid w:val="00C72DF7"/>
    <w:rsid w:val="00C8438D"/>
    <w:rsid w:val="00C85025"/>
    <w:rsid w:val="00C8575D"/>
    <w:rsid w:val="00C9038D"/>
    <w:rsid w:val="00C918BD"/>
    <w:rsid w:val="00C94E59"/>
    <w:rsid w:val="00C97194"/>
    <w:rsid w:val="00CA680A"/>
    <w:rsid w:val="00CB12A7"/>
    <w:rsid w:val="00CE0951"/>
    <w:rsid w:val="00CE5DF9"/>
    <w:rsid w:val="00CF68A2"/>
    <w:rsid w:val="00D00419"/>
    <w:rsid w:val="00D013F8"/>
    <w:rsid w:val="00D13813"/>
    <w:rsid w:val="00D22E53"/>
    <w:rsid w:val="00D25AF0"/>
    <w:rsid w:val="00D3779E"/>
    <w:rsid w:val="00D3795B"/>
    <w:rsid w:val="00D41F60"/>
    <w:rsid w:val="00D527EF"/>
    <w:rsid w:val="00D679E5"/>
    <w:rsid w:val="00D74391"/>
    <w:rsid w:val="00D83360"/>
    <w:rsid w:val="00DB7B85"/>
    <w:rsid w:val="00DD31B4"/>
    <w:rsid w:val="00DD44A4"/>
    <w:rsid w:val="00DF6897"/>
    <w:rsid w:val="00DF7645"/>
    <w:rsid w:val="00DF7D3F"/>
    <w:rsid w:val="00E00758"/>
    <w:rsid w:val="00E03323"/>
    <w:rsid w:val="00E047AD"/>
    <w:rsid w:val="00E12287"/>
    <w:rsid w:val="00E127A1"/>
    <w:rsid w:val="00E20BA4"/>
    <w:rsid w:val="00E20E6D"/>
    <w:rsid w:val="00E355C2"/>
    <w:rsid w:val="00E36D57"/>
    <w:rsid w:val="00E53B95"/>
    <w:rsid w:val="00E658C8"/>
    <w:rsid w:val="00E67A05"/>
    <w:rsid w:val="00E7485D"/>
    <w:rsid w:val="00E74AB7"/>
    <w:rsid w:val="00E75F70"/>
    <w:rsid w:val="00E81FE1"/>
    <w:rsid w:val="00E85371"/>
    <w:rsid w:val="00E90203"/>
    <w:rsid w:val="00EA0405"/>
    <w:rsid w:val="00ED35D7"/>
    <w:rsid w:val="00ED61AB"/>
    <w:rsid w:val="00EF4C32"/>
    <w:rsid w:val="00EF69CD"/>
    <w:rsid w:val="00F02126"/>
    <w:rsid w:val="00F07AB3"/>
    <w:rsid w:val="00F262AB"/>
    <w:rsid w:val="00F4518D"/>
    <w:rsid w:val="00F507B7"/>
    <w:rsid w:val="00F508FA"/>
    <w:rsid w:val="00F54BFB"/>
    <w:rsid w:val="00F57742"/>
    <w:rsid w:val="00F65C86"/>
    <w:rsid w:val="00F66F32"/>
    <w:rsid w:val="00F7284D"/>
    <w:rsid w:val="00F8530B"/>
    <w:rsid w:val="00F94A2B"/>
    <w:rsid w:val="00FA00C6"/>
    <w:rsid w:val="00FB7D16"/>
    <w:rsid w:val="00FC5F9E"/>
    <w:rsid w:val="00FE10AD"/>
    <w:rsid w:val="00FE52B9"/>
    <w:rsid w:val="00FE7213"/>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D013F8"/>
    <w:pPr>
      <w:ind w:left="720"/>
      <w:contextualSpacing/>
    </w:pPr>
  </w:style>
  <w:style w:type="character" w:customStyle="1" w:styleId="UnresolvedMention1">
    <w:name w:val="Unresolved Mention1"/>
    <w:basedOn w:val="DefaultParagraphFont"/>
    <w:uiPriority w:val="99"/>
    <w:semiHidden/>
    <w:unhideWhenUsed/>
    <w:rsid w:val="00522317"/>
    <w:rPr>
      <w:color w:val="605E5C"/>
      <w:shd w:val="clear" w:color="auto" w:fill="E1DFDD"/>
    </w:rPr>
  </w:style>
  <w:style w:type="character" w:styleId="FollowedHyperlink">
    <w:name w:val="FollowedHyperlink"/>
    <w:basedOn w:val="DefaultParagraphFont"/>
    <w:rsid w:val="00931389"/>
    <w:rPr>
      <w:color w:val="954F72" w:themeColor="followedHyperlink"/>
      <w:u w:val="single"/>
    </w:rPr>
  </w:style>
  <w:style w:type="character" w:customStyle="1" w:styleId="underline1">
    <w:name w:val="underline1"/>
    <w:rsid w:val="003E6BA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bi.nlm.nih.gov/myncbi/1XMxyScgxQoAu/bibliography/publi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0cc9ed5-125c-488b-a883-4b2061b7b6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20720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Mary Playdon</cp:lastModifiedBy>
  <cp:revision>4</cp:revision>
  <cp:lastPrinted>2019-01-17T02:40:00Z</cp:lastPrinted>
  <dcterms:created xsi:type="dcterms:W3CDTF">2022-01-21T18:11:00Z</dcterms:created>
  <dcterms:modified xsi:type="dcterms:W3CDTF">2022-01-30T19:59:00Z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