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A6CF" w14:textId="4E116BDF" w:rsidR="00A30928" w:rsidRDefault="00596D0C">
      <w:pPr>
        <w:spacing w:before="68" w:after="0" w:line="239" w:lineRule="auto"/>
        <w:ind w:left="103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Kent A. Ono,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Professor, Department of Communication, University of Utah. Research: rhetoric and discourse, media and film, and race, ethnic, and cultural studies. Books: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Contemporary Media Culture and the Remnants of a Colonial Past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(Peter Lang, 2009);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Asian Americans and the Media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Vincent Pham (Polity, 2009);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Shifting Borders: Rhetoric, Immigration, and California's Proposition 187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John Sloop (Temple University Press, 2002);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Asian American Studies after Critical Mass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(ed., Blackwell, 2005);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Companion to Asian American Studies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(ed., Blackwell, 2005);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Critical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Rhetorics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Race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Michael Lacy (ed., New York University Press, 2011);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Enterprise Zones: Critical Positions on Star Trek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Taylor Harrison, 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Projansky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Elyce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Helford (ed., Westview Press, 1996). Past book series co-editor: "Critical Cultural Communication" with Sarah Banet-Weiser, New York University Press. Past Editor: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Communication and Critical/Cultural Studies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Past Journal Co-editor: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Critical Studies in Media Communication </w:t>
      </w:r>
      <w:r>
        <w:rPr>
          <w:rFonts w:ascii="Times New Roman" w:eastAsia="Times New Roman" w:hAnsi="Times New Roman" w:cs="Times New Roman"/>
          <w:sz w:val="24"/>
          <w:szCs w:val="24"/>
        </w:rPr>
        <w:t>with Ronald L. Jackson II. Elected Second Vice President of the National Communication Association</w:t>
      </w:r>
      <w:r w:rsidR="00E54A7B">
        <w:rPr>
          <w:rFonts w:ascii="Times New Roman" w:eastAsia="Times New Roman" w:hAnsi="Times New Roman" w:cs="Times New Roman"/>
          <w:sz w:val="24"/>
          <w:szCs w:val="24"/>
        </w:rPr>
        <w:t xml:space="preserve"> (served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A7B">
        <w:rPr>
          <w:rFonts w:ascii="Times New Roman" w:eastAsia="Times New Roman" w:hAnsi="Times New Roman" w:cs="Times New Roman"/>
          <w:sz w:val="24"/>
          <w:szCs w:val="24"/>
        </w:rPr>
        <w:t>NCA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2020</w:t>
      </w:r>
      <w:r w:rsidR="00E54A7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30928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28"/>
    <w:rsid w:val="00596D0C"/>
    <w:rsid w:val="005D4ECB"/>
    <w:rsid w:val="00A30928"/>
    <w:rsid w:val="00E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AFE48"/>
  <w15:docId w15:val="{F1643DD7-1813-4448-8B86-2AE642D8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University of Illinois at Urbana-Champaign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A. Ono</cp:lastModifiedBy>
  <cp:revision>3</cp:revision>
  <dcterms:created xsi:type="dcterms:W3CDTF">2022-02-17T19:32:00Z</dcterms:created>
  <dcterms:modified xsi:type="dcterms:W3CDTF">2022-02-17T19:33:00Z</dcterms:modified>
</cp:coreProperties>
</file>