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9CC7" w14:textId="77777777" w:rsidR="00280A3F" w:rsidRDefault="002A033E">
      <w:pPr>
        <w:tabs>
          <w:tab w:val="right" w:pos="9360"/>
        </w:tabs>
        <w:spacing w:after="600"/>
        <w:jc w:val="center"/>
        <w:rPr>
          <w:spacing w:val="-3"/>
          <w:u w:val="single"/>
        </w:rPr>
      </w:pPr>
      <w:smartTag w:uri="urn:schemas-microsoft-com:office:smarttags" w:element="PersonName">
        <w:smartTag w:uri="urn:schemas:contacts" w:element="GivenName">
          <w:r>
            <w:rPr>
              <w:b/>
              <w:spacing w:val="-3"/>
            </w:rPr>
            <w:t>MARK</w:t>
          </w:r>
        </w:smartTag>
        <w:r>
          <w:rPr>
            <w:b/>
            <w:spacing w:val="-3"/>
          </w:rPr>
          <w:t xml:space="preserve"> </w:t>
        </w:r>
        <w:smartTag w:uri="urn:schemas:contacts" w:element="middlename">
          <w:r>
            <w:rPr>
              <w:b/>
              <w:spacing w:val="-3"/>
            </w:rPr>
            <w:t>A.</w:t>
          </w:r>
        </w:smartTag>
        <w:r>
          <w:rPr>
            <w:b/>
            <w:spacing w:val="-3"/>
          </w:rPr>
          <w:t xml:space="preserve"> </w:t>
        </w:r>
        <w:smartTag w:uri="urn:schemas:contacts" w:element="Sn">
          <w:r>
            <w:rPr>
              <w:b/>
              <w:spacing w:val="-3"/>
            </w:rPr>
            <w:t>GLICK</w:t>
          </w:r>
        </w:smartTag>
      </w:smartTag>
    </w:p>
    <w:p w14:paraId="378D3F8E" w14:textId="77777777" w:rsidR="00280A3F" w:rsidRDefault="00C3301D">
      <w:pPr>
        <w:pStyle w:val="Subheading"/>
        <w:rPr>
          <w:smallCaps/>
        </w:rPr>
      </w:pPr>
      <w:r>
        <w:rPr>
          <w:smallCaps/>
        </w:rPr>
        <w:t>Employment</w:t>
      </w:r>
    </w:p>
    <w:p w14:paraId="40CC0C71" w14:textId="77777777" w:rsidR="00280A3F" w:rsidRDefault="002A033E">
      <w:pPr>
        <w:spacing w:before="360" w:after="360"/>
        <w:rPr>
          <w:spacing w:val="-3"/>
        </w:rPr>
      </w:pPr>
      <w:r>
        <w:rPr>
          <w:spacing w:val="-3"/>
        </w:rPr>
        <w:t>1985 -  Present</w:t>
      </w:r>
      <w:r>
        <w:rPr>
          <w:spacing w:val="-3"/>
        </w:rPr>
        <w:tab/>
      </w:r>
      <w:r>
        <w:rPr>
          <w:spacing w:val="-3"/>
        </w:rPr>
        <w:tab/>
        <w:t>Professor of Economics, University of Utah</w:t>
      </w:r>
    </w:p>
    <w:p w14:paraId="6F062D6E" w14:textId="77777777" w:rsidR="00C3301D" w:rsidRDefault="00C3301D" w:rsidP="00C3301D">
      <w:pPr>
        <w:pStyle w:val="Subheading"/>
        <w:rPr>
          <w:smallCaps/>
        </w:rPr>
      </w:pPr>
      <w:r>
        <w:rPr>
          <w:smallCaps/>
        </w:rPr>
        <w:t>Other</w:t>
      </w:r>
    </w:p>
    <w:p w14:paraId="5B09C1C1" w14:textId="0DDC37C3" w:rsidR="00C3301D" w:rsidRDefault="00421AD4" w:rsidP="00E22CCC">
      <w:pPr>
        <w:spacing w:after="360"/>
      </w:pPr>
      <w:r>
        <w:t>Senior Con</w:t>
      </w:r>
      <w:r w:rsidR="00983E40">
        <w:t>sultant, Keystone Strategy</w:t>
      </w:r>
    </w:p>
    <w:p w14:paraId="205AFF6D" w14:textId="77777777" w:rsidR="00280A3F" w:rsidRDefault="002A033E">
      <w:pPr>
        <w:pStyle w:val="Subheading"/>
        <w:rPr>
          <w:smallCaps/>
        </w:rPr>
      </w:pPr>
      <w:r>
        <w:rPr>
          <w:smallCaps/>
        </w:rPr>
        <w:t>Education</w:t>
      </w:r>
    </w:p>
    <w:p w14:paraId="5E05CB2B" w14:textId="77777777" w:rsidR="00280A3F" w:rsidRDefault="002A033E">
      <w:pPr>
        <w:pStyle w:val="BodyTextSingleCont"/>
        <w:spacing w:before="360" w:after="120"/>
      </w:pPr>
      <w:r>
        <w:t>Columbia University School of Law, J.D., 1990 (Center for Law and Economics Fellowship)</w:t>
      </w:r>
    </w:p>
    <w:p w14:paraId="1F5010E8" w14:textId="77777777" w:rsidR="00280A3F" w:rsidRDefault="002A033E">
      <w:pPr>
        <w:pStyle w:val="BodyTextSingleCont"/>
        <w:spacing w:after="120"/>
      </w:pPr>
      <w:r>
        <w:t>New School for Social Research (Economics), Ph.D., 1985</w:t>
      </w:r>
    </w:p>
    <w:p w14:paraId="5DA5576A" w14:textId="77777777" w:rsidR="00280A3F" w:rsidRDefault="002A033E">
      <w:pPr>
        <w:pStyle w:val="BodyTextSingleCont"/>
        <w:spacing w:after="12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>, M.A., 1982</w:t>
      </w:r>
    </w:p>
    <w:p w14:paraId="2B17741F" w14:textId="77777777" w:rsidR="00280A3F" w:rsidRDefault="002A033E" w:rsidP="00E22CCC">
      <w:pPr>
        <w:pStyle w:val="BodyTextSingleCont"/>
        <w:spacing w:after="360"/>
        <w:rPr>
          <w:spacing w:val="-3"/>
        </w:rPr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 xml:space="preserve">. </w:t>
      </w:r>
      <w:smartTag w:uri="urn:schemas:contacts" w:element="GivenName">
        <w:r>
          <w:t>B.A.</w:t>
        </w:r>
      </w:smartTag>
      <w:r>
        <w:t xml:space="preserve">, 1978 </w:t>
      </w:r>
      <w:r>
        <w:rPr>
          <w:spacing w:val="-3"/>
        </w:rPr>
        <w:t>(</w:t>
      </w:r>
      <w:r>
        <w:rPr>
          <w:i/>
          <w:spacing w:val="-3"/>
        </w:rPr>
        <w:t>summa cum laude</w:t>
      </w:r>
      <w:r>
        <w:rPr>
          <w:spacing w:val="-3"/>
        </w:rPr>
        <w:t>) (Phi Beta Kappa)</w:t>
      </w:r>
    </w:p>
    <w:p w14:paraId="3DCE9158" w14:textId="77777777" w:rsidR="00280A3F" w:rsidRDefault="002A033E">
      <w:pPr>
        <w:pStyle w:val="Subheading"/>
        <w:rPr>
          <w:smallCaps/>
          <w:spacing w:val="0"/>
        </w:rPr>
      </w:pPr>
      <w:r>
        <w:rPr>
          <w:smallCaps/>
        </w:rPr>
        <w:t>Professional Credentials</w:t>
      </w:r>
    </w:p>
    <w:p w14:paraId="38AAACC5" w14:textId="77777777" w:rsidR="00280A3F" w:rsidRDefault="002A033E">
      <w:pPr>
        <w:pStyle w:val="BodyTextSingleCont"/>
        <w:spacing w:before="360" w:after="120"/>
      </w:pPr>
      <w:r>
        <w:t>New York State Bar Association</w:t>
      </w:r>
    </w:p>
    <w:p w14:paraId="06B2C634" w14:textId="77777777" w:rsidR="00280A3F" w:rsidRDefault="002A033E">
      <w:pPr>
        <w:pStyle w:val="BodyTextSingleCont"/>
        <w:spacing w:after="120"/>
      </w:pPr>
      <w:r>
        <w:t>Utah State Bar Association</w:t>
      </w:r>
    </w:p>
    <w:p w14:paraId="136A7B0E" w14:textId="77777777" w:rsidR="00280A3F" w:rsidRDefault="002A033E" w:rsidP="00E22CCC">
      <w:pPr>
        <w:pStyle w:val="BodyTextSingleCont"/>
        <w:spacing w:after="360"/>
      </w:pPr>
      <w:r>
        <w:t>Authorized to practice in the United States District Court for the District of Utah</w:t>
      </w:r>
    </w:p>
    <w:p w14:paraId="76FF8A78" w14:textId="77777777" w:rsidR="00280A3F" w:rsidRDefault="002A033E">
      <w:pPr>
        <w:pStyle w:val="Subheading"/>
        <w:rPr>
          <w:bCs/>
          <w:smallCaps/>
        </w:rPr>
      </w:pPr>
      <w:r>
        <w:rPr>
          <w:bCs/>
          <w:smallCaps/>
        </w:rPr>
        <w:t>Professional Memberships</w:t>
      </w:r>
    </w:p>
    <w:p w14:paraId="44701B40" w14:textId="77777777" w:rsidR="00280A3F" w:rsidRDefault="002A033E">
      <w:pPr>
        <w:pStyle w:val="BodyTextSingleCont"/>
        <w:spacing w:before="360" w:after="0"/>
      </w:pPr>
      <w:r>
        <w:t>American Bar Association</w:t>
      </w:r>
    </w:p>
    <w:p w14:paraId="1BD23141" w14:textId="77777777" w:rsidR="00280A3F" w:rsidRDefault="002A033E" w:rsidP="005F5FCC">
      <w:pPr>
        <w:pStyle w:val="BodyTextSingleCont"/>
        <w:spacing w:after="120"/>
        <w:ind w:firstLine="360"/>
      </w:pPr>
      <w:r>
        <w:t>Antitrust Section</w:t>
      </w:r>
    </w:p>
    <w:p w14:paraId="69B85DA2" w14:textId="77777777" w:rsidR="003A60E5" w:rsidRDefault="003A60E5" w:rsidP="003A60E5">
      <w:pPr>
        <w:pStyle w:val="BodyTextSingleCont"/>
        <w:spacing w:after="0"/>
      </w:pPr>
      <w:r>
        <w:t>Utah State Bar Association</w:t>
      </w:r>
    </w:p>
    <w:p w14:paraId="60ECF394" w14:textId="77777777" w:rsidR="003A60E5" w:rsidRPr="003A60E5" w:rsidRDefault="003A60E5" w:rsidP="005F5FCC">
      <w:pPr>
        <w:pStyle w:val="BodyTextSingleCont"/>
        <w:spacing w:after="120"/>
        <w:ind w:firstLine="360"/>
      </w:pPr>
      <w:r>
        <w:t>Antitrust Section</w:t>
      </w:r>
    </w:p>
    <w:p w14:paraId="7D496BE6" w14:textId="77777777" w:rsidR="00280A3F" w:rsidRDefault="00124C5F">
      <w:pPr>
        <w:pStyle w:val="BodyTextSingleCont"/>
        <w:spacing w:after="120"/>
      </w:pPr>
      <w:r>
        <w:t>American Economic</w:t>
      </w:r>
      <w:r w:rsidR="002A033E">
        <w:t xml:space="preserve"> Association</w:t>
      </w:r>
    </w:p>
    <w:p w14:paraId="04BD4F6B" w14:textId="77777777" w:rsidR="00E22CCC" w:rsidRPr="00E22CCC" w:rsidRDefault="00E22CCC" w:rsidP="00E22CCC">
      <w:pPr>
        <w:pStyle w:val="BodyTextSingle"/>
      </w:pPr>
    </w:p>
    <w:p w14:paraId="6D9C6EE5" w14:textId="77777777" w:rsidR="00280A3F" w:rsidRDefault="002A033E">
      <w:pPr>
        <w:pStyle w:val="Subheading"/>
      </w:pPr>
      <w:r>
        <w:br w:type="page"/>
      </w:r>
    </w:p>
    <w:p w14:paraId="25573BC8" w14:textId="77777777" w:rsidR="00280A3F" w:rsidRPr="003D4CBA" w:rsidRDefault="00421AD4">
      <w:pPr>
        <w:pStyle w:val="Subheading"/>
        <w:keepNext w:val="0"/>
        <w:spacing w:before="360"/>
      </w:pPr>
      <w:r>
        <w:rPr>
          <w:smallCaps/>
        </w:rPr>
        <w:lastRenderedPageBreak/>
        <w:t>Articles</w:t>
      </w:r>
      <w:r w:rsidR="003D4CBA">
        <w:rPr>
          <w:smallCaps/>
        </w:rPr>
        <w:t xml:space="preserve"> (</w:t>
      </w:r>
      <w:r w:rsidR="003D4CBA">
        <w:t>last ten years)</w:t>
      </w:r>
    </w:p>
    <w:p w14:paraId="2F1E86A2" w14:textId="1E71D7E1" w:rsidR="00893BA2" w:rsidRDefault="00CC2BC2" w:rsidP="00CB309B">
      <w:pPr>
        <w:pStyle w:val="BodyTextSingle"/>
        <w:ind w:firstLine="0"/>
        <w:jc w:val="both"/>
        <w:rPr>
          <w:i/>
        </w:rPr>
      </w:pPr>
      <w:r>
        <w:rPr>
          <w:i/>
        </w:rPr>
        <w:t>Why Economists Should support Populist Antitrust Goals,</w:t>
      </w:r>
      <w:r w:rsidRPr="00992507">
        <w:rPr>
          <w:iCs/>
        </w:rPr>
        <w:t xml:space="preserve"> Utah Law Review,</w:t>
      </w:r>
      <w:r>
        <w:rPr>
          <w:i/>
        </w:rPr>
        <w:t xml:space="preserve"> Forthcoming</w:t>
      </w:r>
    </w:p>
    <w:p w14:paraId="107385B1" w14:textId="4D26C4CE" w:rsidR="00CC2BC2" w:rsidRDefault="00BB4A5D" w:rsidP="00CB309B">
      <w:pPr>
        <w:pStyle w:val="BodyTextSingle"/>
        <w:ind w:firstLine="0"/>
        <w:jc w:val="both"/>
        <w:rPr>
          <w:i/>
        </w:rPr>
      </w:pPr>
      <w:r>
        <w:rPr>
          <w:i/>
        </w:rPr>
        <w:t>Law and Economics Fallacies,</w:t>
      </w:r>
      <w:r w:rsidRPr="00992507">
        <w:rPr>
          <w:iCs/>
        </w:rPr>
        <w:t xml:space="preserve"> Houston Business and Tax Law Journal,</w:t>
      </w:r>
      <w:r>
        <w:rPr>
          <w:i/>
        </w:rPr>
        <w:t xml:space="preserve"> Forthcoming</w:t>
      </w:r>
    </w:p>
    <w:p w14:paraId="6358F883" w14:textId="036A0811" w:rsidR="00BB4A5D" w:rsidRDefault="007F6363" w:rsidP="00CB309B">
      <w:pPr>
        <w:pStyle w:val="BodyTextSingle"/>
        <w:ind w:firstLine="0"/>
        <w:jc w:val="both"/>
        <w:rPr>
          <w:i/>
        </w:rPr>
      </w:pPr>
      <w:r>
        <w:rPr>
          <w:i/>
        </w:rPr>
        <w:t xml:space="preserve">Breaking up Consumer Welfare’s Monopoly, </w:t>
      </w:r>
      <w:r w:rsidRPr="00992507">
        <w:rPr>
          <w:iCs/>
        </w:rPr>
        <w:t>Suffolk University Law Review</w:t>
      </w:r>
      <w:r>
        <w:rPr>
          <w:i/>
        </w:rPr>
        <w:t>, Forthcoming</w:t>
      </w:r>
    </w:p>
    <w:p w14:paraId="15C4307F" w14:textId="08CED4B9" w:rsidR="007F6363" w:rsidRDefault="007F6363" w:rsidP="00CB309B">
      <w:pPr>
        <w:pStyle w:val="BodyTextSingle"/>
        <w:ind w:firstLine="0"/>
        <w:jc w:val="both"/>
        <w:rPr>
          <w:i/>
        </w:rPr>
      </w:pPr>
      <w:r>
        <w:rPr>
          <w:i/>
        </w:rPr>
        <w:t xml:space="preserve">Make Potential Competition Great Again, </w:t>
      </w:r>
      <w:r w:rsidRPr="00992507">
        <w:rPr>
          <w:iCs/>
        </w:rPr>
        <w:t>The Antitrust Chronical</w:t>
      </w:r>
      <w:r>
        <w:rPr>
          <w:i/>
        </w:rPr>
        <w:t>, Feb</w:t>
      </w:r>
      <w:r w:rsidR="00992507">
        <w:rPr>
          <w:i/>
        </w:rPr>
        <w:t>, 2022.</w:t>
      </w:r>
    </w:p>
    <w:p w14:paraId="0FCA0F20" w14:textId="0166E327" w:rsidR="00D5095F" w:rsidRDefault="00D5095F" w:rsidP="00CB309B">
      <w:pPr>
        <w:pStyle w:val="BodyTextSingle"/>
        <w:ind w:firstLine="0"/>
        <w:jc w:val="both"/>
        <w:rPr>
          <w:iCs/>
        </w:rPr>
      </w:pPr>
      <w:r>
        <w:rPr>
          <w:i/>
        </w:rPr>
        <w:t>Big Tech’s B</w:t>
      </w:r>
      <w:r w:rsidR="005A47CD">
        <w:rPr>
          <w:i/>
        </w:rPr>
        <w:t xml:space="preserve">uying Spree and the Failed Ideology of Competition Law, </w:t>
      </w:r>
      <w:r w:rsidR="00351F5D">
        <w:rPr>
          <w:iCs/>
        </w:rPr>
        <w:t xml:space="preserve"> </w:t>
      </w:r>
      <w:r w:rsidR="00351F5D" w:rsidRPr="002646AF">
        <w:rPr>
          <w:iCs/>
          <w:smallCaps/>
        </w:rPr>
        <w:t>Hastings Law Rev</w:t>
      </w:r>
      <w:r w:rsidR="00351F5D">
        <w:rPr>
          <w:iCs/>
        </w:rPr>
        <w:t xml:space="preserve">., </w:t>
      </w:r>
      <w:r w:rsidR="007E1B97">
        <w:rPr>
          <w:iCs/>
        </w:rPr>
        <w:t>Vol.</w:t>
      </w:r>
      <w:r w:rsidR="00DA074F">
        <w:rPr>
          <w:iCs/>
        </w:rPr>
        <w:t> </w:t>
      </w:r>
      <w:r w:rsidR="007E1B97">
        <w:rPr>
          <w:iCs/>
        </w:rPr>
        <w:t>72, 2021</w:t>
      </w:r>
    </w:p>
    <w:p w14:paraId="55B2F925" w14:textId="74E90836" w:rsidR="00351F5D" w:rsidRDefault="00351F5D" w:rsidP="00CB309B">
      <w:pPr>
        <w:pStyle w:val="BodyTextSingle"/>
        <w:ind w:firstLine="0"/>
        <w:jc w:val="both"/>
        <w:rPr>
          <w:iCs/>
        </w:rPr>
      </w:pPr>
      <w:r>
        <w:rPr>
          <w:i/>
        </w:rPr>
        <w:t>Antitrust and Economic History:  The Historic Failure of the Chicago School of Antitrust</w:t>
      </w:r>
      <w:r>
        <w:rPr>
          <w:iCs/>
        </w:rPr>
        <w:t xml:space="preserve">, </w:t>
      </w:r>
      <w:r w:rsidRPr="00351F5D">
        <w:rPr>
          <w:smallCaps/>
        </w:rPr>
        <w:t>The Antitrust Bulletin</w:t>
      </w:r>
      <w:r>
        <w:rPr>
          <w:iCs/>
        </w:rPr>
        <w:t>, Vol</w:t>
      </w:r>
      <w:r w:rsidR="00B63BB4">
        <w:rPr>
          <w:iCs/>
        </w:rPr>
        <w:t>.</w:t>
      </w:r>
      <w:r>
        <w:rPr>
          <w:iCs/>
        </w:rPr>
        <w:t> 64, 2019</w:t>
      </w:r>
    </w:p>
    <w:p w14:paraId="4E0CD4F6" w14:textId="2AECF76E" w:rsidR="00351F5D" w:rsidRPr="00351F5D" w:rsidRDefault="00351F5D" w:rsidP="00CB309B">
      <w:pPr>
        <w:pStyle w:val="BodyTextSingle"/>
        <w:ind w:firstLine="0"/>
        <w:jc w:val="both"/>
        <w:rPr>
          <w:iCs/>
        </w:rPr>
      </w:pPr>
      <w:r>
        <w:rPr>
          <w:i/>
        </w:rPr>
        <w:t>How Chicago Economics Distorts Consumer Welfare in Antitrust</w:t>
      </w:r>
      <w:r>
        <w:rPr>
          <w:iCs/>
        </w:rPr>
        <w:t xml:space="preserve">, </w:t>
      </w:r>
      <w:r w:rsidRPr="00351F5D">
        <w:rPr>
          <w:smallCaps/>
        </w:rPr>
        <w:t>The Antitrust Bulletin</w:t>
      </w:r>
      <w:r>
        <w:rPr>
          <w:iCs/>
        </w:rPr>
        <w:t>, Vol</w:t>
      </w:r>
      <w:r w:rsidR="00B63BB4">
        <w:rPr>
          <w:iCs/>
        </w:rPr>
        <w:t>.</w:t>
      </w:r>
      <w:r>
        <w:rPr>
          <w:iCs/>
        </w:rPr>
        <w:t> 64, 2019</w:t>
      </w:r>
    </w:p>
    <w:p w14:paraId="67557558" w14:textId="5FDCFB85" w:rsidR="007E1B97" w:rsidRPr="007E1B97" w:rsidRDefault="007E1B97" w:rsidP="00CB309B">
      <w:pPr>
        <w:pStyle w:val="BodyTextSingle"/>
        <w:ind w:firstLine="0"/>
        <w:jc w:val="both"/>
        <w:rPr>
          <w:iCs/>
        </w:rPr>
      </w:pPr>
      <w:r>
        <w:rPr>
          <w:i/>
        </w:rPr>
        <w:t>“The Unsound Theory Behind the Consumer (and Total) Welfare Goal in Antitrust,”</w:t>
      </w:r>
      <w:r>
        <w:rPr>
          <w:iCs/>
        </w:rPr>
        <w:t xml:space="preserve"> </w:t>
      </w:r>
      <w:r w:rsidRPr="00351F5D">
        <w:rPr>
          <w:smallCaps/>
        </w:rPr>
        <w:t>The Antitrust Bulletin</w:t>
      </w:r>
      <w:r>
        <w:rPr>
          <w:iCs/>
        </w:rPr>
        <w:t>, Vol</w:t>
      </w:r>
      <w:r w:rsidR="00B63BB4">
        <w:rPr>
          <w:iCs/>
        </w:rPr>
        <w:t>.</w:t>
      </w:r>
      <w:r>
        <w:rPr>
          <w:iCs/>
        </w:rPr>
        <w:t> 63, 2018</w:t>
      </w:r>
    </w:p>
    <w:p w14:paraId="5D52B702" w14:textId="3BA9FEE0" w:rsidR="00634DB4" w:rsidRDefault="00634DB4" w:rsidP="00CB309B">
      <w:pPr>
        <w:pStyle w:val="BodyTextSingle"/>
        <w:ind w:firstLine="0"/>
        <w:jc w:val="both"/>
      </w:pPr>
      <w:r>
        <w:rPr>
          <w:i/>
        </w:rPr>
        <w:t>“The “Book of Wisdom” Contains</w:t>
      </w:r>
      <w:r w:rsidR="00E22CCC">
        <w:rPr>
          <w:i/>
        </w:rPr>
        <w:t xml:space="preserve"> Little Wisdom and </w:t>
      </w:r>
      <w:r>
        <w:rPr>
          <w:i/>
        </w:rPr>
        <w:t xml:space="preserve">Creates </w:t>
      </w:r>
      <w:r w:rsidR="00E22CCC">
        <w:rPr>
          <w:i/>
        </w:rPr>
        <w:t>Signi</w:t>
      </w:r>
      <w:r>
        <w:rPr>
          <w:i/>
        </w:rPr>
        <w:t>ficant Risk of Bias</w:t>
      </w:r>
      <w:r>
        <w:t>,”</w:t>
      </w:r>
      <w:r w:rsidR="00E22CCC">
        <w:t xml:space="preserve"> </w:t>
      </w:r>
      <w:r>
        <w:rPr>
          <w:smallCaps/>
        </w:rPr>
        <w:t>Federal Circuit Bar</w:t>
      </w:r>
      <w:r w:rsidR="00E22CCC" w:rsidRPr="00E22CCC">
        <w:rPr>
          <w:smallCaps/>
        </w:rPr>
        <w:t xml:space="preserve"> Journal, </w:t>
      </w:r>
      <w:r>
        <w:t>Vol</w:t>
      </w:r>
      <w:r w:rsidR="00B63BB4">
        <w:t>.</w:t>
      </w:r>
      <w:r>
        <w:t xml:space="preserve"> 27, 2017-2018</w:t>
      </w:r>
    </w:p>
    <w:p w14:paraId="4943B92B" w14:textId="318C1067" w:rsidR="00C56C9C" w:rsidRPr="00C56C9C" w:rsidRDefault="00C56C9C" w:rsidP="00CB309B">
      <w:pPr>
        <w:pStyle w:val="BodyTextSingle"/>
        <w:ind w:firstLine="0"/>
        <w:jc w:val="both"/>
      </w:pPr>
      <w:r>
        <w:rPr>
          <w:i/>
        </w:rPr>
        <w:t>The Economics of Reasonable Royalty Damages:  The Limited Proper Role of the So-called ‘Analytical Method’</w:t>
      </w:r>
      <w:r w:rsidRPr="00C56C9C">
        <w:t>;</w:t>
      </w:r>
      <w:r>
        <w:rPr>
          <w:i/>
        </w:rPr>
        <w:t xml:space="preserve"> </w:t>
      </w:r>
      <w:r w:rsidR="00634DB4">
        <w:rPr>
          <w:smallCaps/>
        </w:rPr>
        <w:t>John Marshall Law Review</w:t>
      </w:r>
      <w:r>
        <w:t xml:space="preserve">, </w:t>
      </w:r>
      <w:r w:rsidR="00351F5D">
        <w:t>Vol</w:t>
      </w:r>
      <w:r w:rsidR="00B63BB4">
        <w:t>.</w:t>
      </w:r>
      <w:r w:rsidR="00351F5D">
        <w:t> 49</w:t>
      </w:r>
      <w:r w:rsidR="00B63BB4">
        <w:t>,</w:t>
      </w:r>
      <w:r>
        <w:t xml:space="preserve"> 2016</w:t>
      </w:r>
      <w:r w:rsidR="00634DB4">
        <w:t xml:space="preserve"> </w:t>
      </w:r>
    </w:p>
    <w:p w14:paraId="4623809C" w14:textId="77777777" w:rsidR="00FA03A5" w:rsidRPr="00FA03A5" w:rsidRDefault="00FA03A5" w:rsidP="00CB309B">
      <w:pPr>
        <w:pStyle w:val="BodyTextSingle"/>
        <w:ind w:firstLine="0"/>
        <w:jc w:val="both"/>
      </w:pPr>
      <w:r>
        <w:rPr>
          <w:i/>
        </w:rPr>
        <w:t xml:space="preserve">Property Value Impacts from Easements, Right-of-Way, Transmission Lines, Sub-Transmission Lines, and Substations: A Large Sample Hedonic Analysis, </w:t>
      </w:r>
      <w:r>
        <w:t xml:space="preserve">submitted, </w:t>
      </w:r>
      <w:r w:rsidRPr="00FA03A5">
        <w:rPr>
          <w:smallCaps/>
        </w:rPr>
        <w:t>The Appraisal Journal</w:t>
      </w:r>
      <w:r>
        <w:t xml:space="preserve">, </w:t>
      </w:r>
      <w:r w:rsidR="00C56C9C">
        <w:t xml:space="preserve">November </w:t>
      </w:r>
      <w:r>
        <w:t>2015</w:t>
      </w:r>
    </w:p>
    <w:p w14:paraId="5B09C047" w14:textId="36ECBE05" w:rsidR="00B82D19" w:rsidRPr="001C1FEE" w:rsidRDefault="00B82D19" w:rsidP="00B82D19">
      <w:pPr>
        <w:pStyle w:val="BodyTextSingle"/>
        <w:ind w:firstLine="0"/>
        <w:jc w:val="both"/>
      </w:pPr>
      <w:r>
        <w:rPr>
          <w:i/>
        </w:rPr>
        <w:t xml:space="preserve">Towards a More Reasoned Application of the Robinson-Patman Act:  A Holistic View Incorporating Principles of Law and Economics in Light of Congressional Intent, </w:t>
      </w:r>
      <w:r w:rsidR="00351F5D" w:rsidRPr="00351F5D">
        <w:rPr>
          <w:smallCaps/>
        </w:rPr>
        <w:t>The</w:t>
      </w:r>
      <w:r>
        <w:t xml:space="preserve"> </w:t>
      </w:r>
      <w:r>
        <w:rPr>
          <w:smallCaps/>
        </w:rPr>
        <w:t xml:space="preserve">Antitrust Bulletin, </w:t>
      </w:r>
      <w:r w:rsidR="00351F5D">
        <w:t>Vol</w:t>
      </w:r>
      <w:r w:rsidR="00B63BB4">
        <w:t>.</w:t>
      </w:r>
      <w:r w:rsidR="00351F5D">
        <w:t xml:space="preserve"> 60</w:t>
      </w:r>
      <w:r w:rsidR="00DA074F">
        <w:t>,</w:t>
      </w:r>
      <w:r>
        <w:t xml:space="preserve"> 2015</w:t>
      </w:r>
    </w:p>
    <w:p w14:paraId="20225B4E" w14:textId="6EC169C1" w:rsidR="00CB309B" w:rsidRPr="00FD04DA" w:rsidRDefault="00CB309B" w:rsidP="00CB309B">
      <w:pPr>
        <w:pStyle w:val="BodyTextSingle"/>
        <w:ind w:firstLine="0"/>
        <w:jc w:val="both"/>
      </w:pPr>
      <w:r>
        <w:rPr>
          <w:i/>
        </w:rPr>
        <w:t>How Does Page Rank Affect User Choice in Online Search</w:t>
      </w:r>
      <w:r>
        <w:t xml:space="preserve">, </w:t>
      </w:r>
      <w:r w:rsidR="00EE4180" w:rsidRPr="00EE4180">
        <w:rPr>
          <w:smallCaps/>
        </w:rPr>
        <w:t>Review of Industrial Organization</w:t>
      </w:r>
      <w:r w:rsidR="00EE4180">
        <w:t>,</w:t>
      </w:r>
      <w:r w:rsidR="00FA03A5">
        <w:t xml:space="preserve"> </w:t>
      </w:r>
      <w:r w:rsidR="00B63BB4">
        <w:t>V</w:t>
      </w:r>
      <w:r w:rsidR="00FA03A5">
        <w:t>ol</w:t>
      </w:r>
      <w:r w:rsidR="00351F5D">
        <w:t>.</w:t>
      </w:r>
      <w:r w:rsidR="00FA03A5">
        <w:t xml:space="preserve"> 45, 2014</w:t>
      </w:r>
    </w:p>
    <w:p w14:paraId="61158E4F" w14:textId="77777777" w:rsidR="00D60FE8" w:rsidRPr="00D60FE8" w:rsidRDefault="00D60FE8" w:rsidP="00D60FE8">
      <w:pPr>
        <w:pStyle w:val="BodyTextSingleCont"/>
        <w:jc w:val="both"/>
      </w:pPr>
      <w:r w:rsidRPr="00D60FE8">
        <w:rPr>
          <w:i/>
        </w:rPr>
        <w:t>Lost Profits</w:t>
      </w:r>
      <w:r>
        <w:rPr>
          <w:i/>
        </w:rPr>
        <w:t xml:space="preserve"> in Trademark and Copyright Cases, </w:t>
      </w:r>
      <w:r>
        <w:t xml:space="preserve">in Nancy Fannon &amp; Jonathan Dunitz, </w:t>
      </w:r>
      <w:r>
        <w:rPr>
          <w:i/>
        </w:rPr>
        <w:t>The Comprehensive Guide to Lost Profits and Other Commercial Damages</w:t>
      </w:r>
      <w:r>
        <w:t>, BVR Press (2014)</w:t>
      </w:r>
    </w:p>
    <w:p w14:paraId="130157C6" w14:textId="485D71F3" w:rsidR="0099378E" w:rsidRPr="00FD04DA" w:rsidRDefault="0099378E" w:rsidP="0099378E">
      <w:pPr>
        <w:pStyle w:val="BodyTextSingleCont"/>
        <w:jc w:val="both"/>
        <w:rPr>
          <w:smallCaps/>
        </w:rPr>
      </w:pPr>
      <w:r>
        <w:rPr>
          <w:i/>
        </w:rPr>
        <w:t>The Economics and Perplexing Utah Law of Prejudgment Interest</w:t>
      </w:r>
      <w:r>
        <w:t xml:space="preserve">, </w:t>
      </w:r>
      <w:r>
        <w:rPr>
          <w:smallCaps/>
        </w:rPr>
        <w:t xml:space="preserve">Utah Law Review, </w:t>
      </w:r>
      <w:r w:rsidR="00B63BB4">
        <w:t>V</w:t>
      </w:r>
      <w:r>
        <w:t xml:space="preserve">ol. 2013, </w:t>
      </w:r>
      <w:r w:rsidR="00351F5D">
        <w:t>2013</w:t>
      </w:r>
    </w:p>
    <w:p w14:paraId="35911010" w14:textId="6A6F0B55" w:rsidR="00CB3F5A" w:rsidRPr="00CB3F5A" w:rsidRDefault="00CB3F5A" w:rsidP="0099378E">
      <w:pPr>
        <w:pStyle w:val="BodyTextSingleCont"/>
        <w:jc w:val="both"/>
      </w:pPr>
      <w:r>
        <w:rPr>
          <w:i/>
        </w:rPr>
        <w:t>Good</w:t>
      </w:r>
      <w:r w:rsidR="00FA03A5">
        <w:rPr>
          <w:i/>
        </w:rPr>
        <w:t xml:space="preserve"> Riddance to Market Definition,</w:t>
      </w:r>
      <w:r>
        <w:rPr>
          <w:i/>
        </w:rPr>
        <w:t xml:space="preserve"> </w:t>
      </w:r>
      <w:r w:rsidR="00351F5D" w:rsidRPr="00736A8E">
        <w:rPr>
          <w:iCs/>
          <w:smallCaps/>
        </w:rPr>
        <w:t>The</w:t>
      </w:r>
      <w:r w:rsidR="00351F5D" w:rsidRPr="00351F5D">
        <w:rPr>
          <w:i/>
          <w:smallCaps/>
        </w:rPr>
        <w:t xml:space="preserve"> </w:t>
      </w:r>
      <w:r>
        <w:rPr>
          <w:smallCaps/>
        </w:rPr>
        <w:t>Antitrust Bulletin</w:t>
      </w:r>
      <w:r>
        <w:t xml:space="preserve">: </w:t>
      </w:r>
      <w:r w:rsidR="00B63BB4">
        <w:t>V</w:t>
      </w:r>
      <w:r>
        <w:t>ol. 57, 2012</w:t>
      </w:r>
    </w:p>
    <w:p w14:paraId="1921F415" w14:textId="05DD6DC8" w:rsidR="008A41D2" w:rsidRPr="008A41D2" w:rsidRDefault="008A41D2">
      <w:pPr>
        <w:pStyle w:val="BodyTextSingleCont"/>
        <w:jc w:val="both"/>
      </w:pPr>
      <w:r>
        <w:rPr>
          <w:i/>
        </w:rPr>
        <w:t>Comments</w:t>
      </w:r>
      <w:r w:rsidR="00FA03A5">
        <w:rPr>
          <w:i/>
        </w:rPr>
        <w:t xml:space="preserve"> on Market Definition Articles,</w:t>
      </w:r>
      <w:r>
        <w:rPr>
          <w:i/>
        </w:rPr>
        <w:t xml:space="preserve"> </w:t>
      </w:r>
      <w:r w:rsidR="00736A8E" w:rsidRPr="00736A8E">
        <w:rPr>
          <w:iCs/>
          <w:smallCaps/>
        </w:rPr>
        <w:t>The</w:t>
      </w:r>
      <w:r w:rsidR="00736A8E" w:rsidRPr="00351F5D">
        <w:rPr>
          <w:i/>
          <w:smallCaps/>
        </w:rPr>
        <w:t xml:space="preserve"> </w:t>
      </w:r>
      <w:r>
        <w:rPr>
          <w:smallCaps/>
        </w:rPr>
        <w:t>Antitrust Bulletin</w:t>
      </w:r>
      <w:r>
        <w:t xml:space="preserve">, </w:t>
      </w:r>
      <w:r w:rsidR="00B63BB4">
        <w:t>V</w:t>
      </w:r>
      <w:r>
        <w:t>ol. 57, 2012</w:t>
      </w:r>
    </w:p>
    <w:p w14:paraId="2281EA3C" w14:textId="77777777" w:rsidR="00421AD4" w:rsidRDefault="00421AD4" w:rsidP="00736A8E">
      <w:pPr>
        <w:pStyle w:val="Subheading"/>
        <w:spacing w:before="360"/>
        <w:rPr>
          <w:bCs/>
          <w:smallCaps/>
        </w:rPr>
      </w:pPr>
      <w:r>
        <w:rPr>
          <w:bCs/>
          <w:smallCaps/>
        </w:rPr>
        <w:lastRenderedPageBreak/>
        <w:t>Books</w:t>
      </w:r>
    </w:p>
    <w:p w14:paraId="6D03B73E" w14:textId="77777777" w:rsidR="00421AD4" w:rsidRDefault="00421AD4" w:rsidP="00E22CCC">
      <w:pPr>
        <w:pStyle w:val="BodyTextSingle"/>
        <w:spacing w:after="360"/>
        <w:ind w:firstLine="0"/>
        <w:jc w:val="both"/>
      </w:pPr>
      <w:r w:rsidRPr="00301D9F">
        <w:rPr>
          <w:i/>
        </w:rPr>
        <w:t>Intellectual Property Damages: Guidelines and Analysis</w:t>
      </w:r>
      <w:r>
        <w:t>, Mark A. Glick, Lara A. Reyman, Richard Hoffman, John Wiley and Sons, Inc. 2003</w:t>
      </w:r>
    </w:p>
    <w:p w14:paraId="4299AF3F" w14:textId="77777777" w:rsidR="00280A3F" w:rsidRPr="003D4CBA" w:rsidRDefault="002A033E" w:rsidP="00E22CCC">
      <w:pPr>
        <w:pStyle w:val="Subheading"/>
        <w:jc w:val="both"/>
      </w:pPr>
      <w:r>
        <w:rPr>
          <w:smallCaps/>
        </w:rPr>
        <w:t>Conference and Seminar Presentations</w:t>
      </w:r>
      <w:r w:rsidR="003D4CBA">
        <w:rPr>
          <w:smallCaps/>
        </w:rPr>
        <w:t xml:space="preserve"> </w:t>
      </w:r>
      <w:r w:rsidR="003D4CBA">
        <w:t>(last ten years)</w:t>
      </w:r>
    </w:p>
    <w:p w14:paraId="13A2B4C5" w14:textId="008630FF" w:rsidR="008D465D" w:rsidRPr="008D465D" w:rsidRDefault="008D465D">
      <w:pPr>
        <w:pStyle w:val="BodyTextSingleCont"/>
        <w:jc w:val="both"/>
        <w:rPr>
          <w:iCs/>
        </w:rPr>
      </w:pPr>
      <w:r>
        <w:rPr>
          <w:i/>
        </w:rPr>
        <w:t xml:space="preserve">Fallacies in the Consumer Welfare Standard, </w:t>
      </w:r>
      <w:r>
        <w:rPr>
          <w:iCs/>
        </w:rPr>
        <w:t xml:space="preserve">Conference, </w:t>
      </w:r>
      <w:r w:rsidR="00292A4F">
        <w:rPr>
          <w:iCs/>
        </w:rPr>
        <w:t>The New Roaring Twenties:  The Progressive Agenda for Antitrust and Consumer Protection Law</w:t>
      </w:r>
      <w:r w:rsidR="002C3178">
        <w:rPr>
          <w:iCs/>
        </w:rPr>
        <w:t>.  University of Utah, October 2022.</w:t>
      </w:r>
    </w:p>
    <w:p w14:paraId="1CE4E91E" w14:textId="1A0D848C" w:rsidR="005A47CD" w:rsidRPr="005A47CD" w:rsidRDefault="005A47CD">
      <w:pPr>
        <w:pStyle w:val="BodyTextSingleCont"/>
        <w:jc w:val="both"/>
      </w:pPr>
      <w:r>
        <w:rPr>
          <w:i/>
        </w:rPr>
        <w:t xml:space="preserve">The Consumer Welfare Standard, </w:t>
      </w:r>
      <w:r>
        <w:t>Conference: A New Antitrust?, University of Utah, October 2018</w:t>
      </w:r>
    </w:p>
    <w:p w14:paraId="14CFE696" w14:textId="77777777" w:rsidR="00CB3F5A" w:rsidRPr="00783281" w:rsidRDefault="00783281">
      <w:pPr>
        <w:pStyle w:val="BodyTextSingleCont"/>
        <w:jc w:val="both"/>
      </w:pPr>
      <w:r>
        <w:rPr>
          <w:i/>
        </w:rPr>
        <w:t>Law and Economics of Vertical Integration</w:t>
      </w:r>
      <w:r>
        <w:t>, Utah State Bar Convention, Sun Valley, Idaho, July 2012</w:t>
      </w:r>
    </w:p>
    <w:p w14:paraId="06CDD54C" w14:textId="77777777" w:rsidR="00280A3F" w:rsidRDefault="002A033E">
      <w:pPr>
        <w:pStyle w:val="BodyTextSingleCont"/>
        <w:jc w:val="both"/>
      </w:pPr>
      <w:r>
        <w:rPr>
          <w:i/>
        </w:rPr>
        <w:t>Utah Law and the Proper Damage Date</w:t>
      </w:r>
      <w:r>
        <w:t>, Federal Bar Association, Park City, Utah, August 2010</w:t>
      </w:r>
    </w:p>
    <w:p w14:paraId="217C7F0E" w14:textId="4994CA71" w:rsidR="00280A3F" w:rsidRPr="003D4CBA" w:rsidRDefault="002A033E" w:rsidP="00736A8E">
      <w:pPr>
        <w:pStyle w:val="Subheading"/>
        <w:spacing w:before="360"/>
        <w:jc w:val="both"/>
      </w:pPr>
      <w:r>
        <w:rPr>
          <w:smallCaps/>
        </w:rPr>
        <w:t>Expert Testimony/Reports</w:t>
      </w:r>
      <w:r w:rsidR="005C4CB8">
        <w:rPr>
          <w:smallCaps/>
        </w:rPr>
        <w:t xml:space="preserve"> </w:t>
      </w:r>
      <w:r w:rsidR="003D4CBA">
        <w:rPr>
          <w:smallCaps/>
        </w:rPr>
        <w:t xml:space="preserve"> </w:t>
      </w:r>
      <w:r w:rsidR="003D4CBA">
        <w:t>(last ten years)</w:t>
      </w:r>
    </w:p>
    <w:p w14:paraId="402309A3" w14:textId="77777777" w:rsidR="005A47CD" w:rsidRDefault="005A47CD" w:rsidP="004F7A80">
      <w:pPr>
        <w:pStyle w:val="BodyTextSingle"/>
        <w:spacing w:after="190"/>
        <w:ind w:firstLine="0"/>
        <w:jc w:val="both"/>
      </w:pPr>
      <w:r>
        <w:rPr>
          <w:i/>
        </w:rPr>
        <w:t xml:space="preserve">CR Bard v. Medical Components, Inc. </w:t>
      </w:r>
      <w:r>
        <w:t>(Antitrust) 2019</w:t>
      </w:r>
    </w:p>
    <w:p w14:paraId="1B358BFB" w14:textId="77777777" w:rsidR="00736A8E" w:rsidRPr="00736A8E" w:rsidRDefault="00736A8E" w:rsidP="004F7A80">
      <w:pPr>
        <w:pStyle w:val="BodyTextSingle"/>
        <w:spacing w:after="190"/>
        <w:ind w:firstLine="0"/>
        <w:jc w:val="both"/>
        <w:rPr>
          <w:iCs/>
        </w:rPr>
      </w:pPr>
      <w:r>
        <w:rPr>
          <w:i/>
        </w:rPr>
        <w:t>Ocimum Biosystems v. Astrazeneca</w:t>
      </w:r>
      <w:r>
        <w:rPr>
          <w:iCs/>
        </w:rPr>
        <w:t xml:space="preserve"> (Trade Secret Damages) (Report, Deposition) 2018</w:t>
      </w:r>
    </w:p>
    <w:p w14:paraId="7047E6E2" w14:textId="77777777" w:rsidR="00634DB4" w:rsidRPr="00634DB4" w:rsidRDefault="00634DB4" w:rsidP="004F7A80">
      <w:pPr>
        <w:pStyle w:val="BodyTextSingle"/>
        <w:spacing w:after="190"/>
        <w:ind w:firstLine="0"/>
        <w:jc w:val="both"/>
      </w:pPr>
      <w:r>
        <w:rPr>
          <w:i/>
        </w:rPr>
        <w:t xml:space="preserve">Beltran et al v. Interexchange, Inc. et al </w:t>
      </w:r>
      <w:r>
        <w:t>(Antitrust) (Report) 2017</w:t>
      </w:r>
    </w:p>
    <w:p w14:paraId="11716FFB" w14:textId="77777777" w:rsidR="00421AD4" w:rsidRPr="00301D9F" w:rsidRDefault="00421AD4" w:rsidP="004F7A80">
      <w:pPr>
        <w:pStyle w:val="BodyTextSingle"/>
        <w:spacing w:after="190"/>
        <w:ind w:firstLine="0"/>
        <w:jc w:val="both"/>
      </w:pPr>
      <w:r>
        <w:rPr>
          <w:i/>
        </w:rPr>
        <w:t>Move v. Zillo</w:t>
      </w:r>
      <w:r w:rsidR="004820CB">
        <w:rPr>
          <w:i/>
        </w:rPr>
        <w:t>w</w:t>
      </w:r>
      <w:r>
        <w:rPr>
          <w:i/>
        </w:rPr>
        <w:t xml:space="preserve"> </w:t>
      </w:r>
      <w:r w:rsidR="004820CB">
        <w:t>(Trade Secret</w:t>
      </w:r>
      <w:r>
        <w:t xml:space="preserve"> Damages) (Report, Deposition) 2016</w:t>
      </w:r>
    </w:p>
    <w:p w14:paraId="47E197AC" w14:textId="77777777" w:rsidR="00421AD4" w:rsidRPr="00301D9F" w:rsidRDefault="00421AD4" w:rsidP="004F7A80">
      <w:pPr>
        <w:pStyle w:val="BodyTextSingle"/>
        <w:spacing w:after="190"/>
        <w:ind w:firstLine="0"/>
        <w:jc w:val="both"/>
      </w:pPr>
      <w:r>
        <w:rPr>
          <w:i/>
        </w:rPr>
        <w:t xml:space="preserve">Zeni Max v. Facebook </w:t>
      </w:r>
      <w:r w:rsidR="004820CB">
        <w:t>(Copyright/Trade Secret/Trademark</w:t>
      </w:r>
      <w:r w:rsidRPr="00301D9F">
        <w:t xml:space="preserve"> Damages) (</w:t>
      </w:r>
      <w:r>
        <w:t>Report, Deposition) 2016</w:t>
      </w:r>
    </w:p>
    <w:p w14:paraId="348470C2" w14:textId="77777777" w:rsidR="004D0BF3" w:rsidRPr="004D0BF3" w:rsidRDefault="004D0BF3" w:rsidP="004F7A80">
      <w:pPr>
        <w:pStyle w:val="BodyTextSingle"/>
        <w:spacing w:after="190"/>
        <w:ind w:firstLine="0"/>
        <w:jc w:val="both"/>
      </w:pPr>
      <w:r>
        <w:rPr>
          <w:i/>
        </w:rPr>
        <w:t>John Braun v. Medtronic</w:t>
      </w:r>
      <w:r>
        <w:t xml:space="preserve"> (</w:t>
      </w:r>
      <w:r w:rsidR="004820CB">
        <w:t>Patent/Trade Secret</w:t>
      </w:r>
      <w:r w:rsidR="00421AD4">
        <w:t xml:space="preserve"> </w:t>
      </w:r>
      <w:r>
        <w:t>Damages)</w:t>
      </w:r>
      <w:r w:rsidR="000F52D2">
        <w:t xml:space="preserve"> (Report, Deposition, Trial Testimony) 2014</w:t>
      </w:r>
    </w:p>
    <w:p w14:paraId="57E6A30F" w14:textId="77777777" w:rsidR="004F7A80" w:rsidRPr="004F7A80" w:rsidRDefault="004F7A80" w:rsidP="004F7A80">
      <w:pPr>
        <w:pStyle w:val="BodyTextSingle"/>
        <w:spacing w:after="190"/>
        <w:ind w:firstLine="0"/>
        <w:jc w:val="both"/>
      </w:pPr>
      <w:r>
        <w:rPr>
          <w:i/>
        </w:rPr>
        <w:t>Western Convenience v. Suncor</w:t>
      </w:r>
      <w:r w:rsidR="000F52D2">
        <w:t xml:space="preserve"> (Antitrust) (</w:t>
      </w:r>
      <w:r w:rsidR="00035647">
        <w:t xml:space="preserve">Report, </w:t>
      </w:r>
      <w:r w:rsidR="000F52D2">
        <w:t>Deposition, Trial Testimony) 2014</w:t>
      </w:r>
    </w:p>
    <w:p w14:paraId="460A5575" w14:textId="77777777" w:rsidR="008A41D2" w:rsidRPr="008A41D2" w:rsidRDefault="008A41D2" w:rsidP="004F7A80">
      <w:pPr>
        <w:pStyle w:val="BodyTextSingle"/>
        <w:spacing w:after="190"/>
        <w:ind w:firstLine="0"/>
        <w:jc w:val="both"/>
      </w:pPr>
      <w:r>
        <w:rPr>
          <w:i/>
        </w:rPr>
        <w:t xml:space="preserve">M.B. Signal v. AT&amp;T/Cingular </w:t>
      </w:r>
      <w:r>
        <w:t>(Antitrust) (Report, Deposition, Trial Testimony) 2014</w:t>
      </w:r>
    </w:p>
    <w:p w14:paraId="157D4FA2" w14:textId="77777777" w:rsidR="00FD04DA" w:rsidRDefault="00FD04DA" w:rsidP="004F7A80">
      <w:pPr>
        <w:pStyle w:val="BodyTextSingle"/>
        <w:spacing w:after="190"/>
        <w:ind w:firstLine="0"/>
        <w:jc w:val="both"/>
      </w:pPr>
      <w:r>
        <w:rPr>
          <w:i/>
        </w:rPr>
        <w:t xml:space="preserve">Cellular Cellutions, Inc. v. AT&amp;T/Cingular </w:t>
      </w:r>
      <w:r>
        <w:t xml:space="preserve">(Antitrust) </w:t>
      </w:r>
      <w:r w:rsidR="000F52D2">
        <w:t>(</w:t>
      </w:r>
      <w:r w:rsidR="00035647">
        <w:t xml:space="preserve">Report, </w:t>
      </w:r>
      <w:r w:rsidR="000F52D2">
        <w:t xml:space="preserve">Deposition) </w:t>
      </w:r>
      <w:r>
        <w:t>201</w:t>
      </w:r>
      <w:r w:rsidR="000F52D2">
        <w:t>4</w:t>
      </w:r>
    </w:p>
    <w:p w14:paraId="0364C36F" w14:textId="77777777" w:rsidR="00FD04DA" w:rsidRDefault="00FD04DA" w:rsidP="004F7A80">
      <w:pPr>
        <w:pStyle w:val="BodyTextSingle"/>
        <w:spacing w:after="190"/>
        <w:ind w:firstLine="0"/>
        <w:jc w:val="both"/>
      </w:pPr>
      <w:r>
        <w:rPr>
          <w:i/>
        </w:rPr>
        <w:t>Cook Slurry v. State of Utah</w:t>
      </w:r>
      <w:r>
        <w:t xml:space="preserve"> (</w:t>
      </w:r>
      <w:r w:rsidR="004820CB">
        <w:t xml:space="preserve">Contract/Trade Secret </w:t>
      </w:r>
      <w:r>
        <w:t xml:space="preserve">Damages) </w:t>
      </w:r>
      <w:r w:rsidR="00035647">
        <w:t xml:space="preserve">(Report) </w:t>
      </w:r>
      <w:r>
        <w:t>2011</w:t>
      </w:r>
    </w:p>
    <w:p w14:paraId="4BAA3B09" w14:textId="77777777" w:rsidR="00FD04DA" w:rsidRDefault="00FD04DA" w:rsidP="004F7A80">
      <w:pPr>
        <w:pStyle w:val="BodyTextSingle"/>
        <w:spacing w:after="190"/>
        <w:ind w:firstLine="0"/>
        <w:jc w:val="both"/>
      </w:pPr>
      <w:r>
        <w:rPr>
          <w:i/>
        </w:rPr>
        <w:t>SIRQ v. Layton Construction</w:t>
      </w:r>
      <w:r>
        <w:t xml:space="preserve"> (Antitrust)</w:t>
      </w:r>
      <w:r w:rsidR="00035647">
        <w:t xml:space="preserve"> (Report)</w:t>
      </w:r>
      <w:r>
        <w:t xml:space="preserve"> 2011</w:t>
      </w:r>
    </w:p>
    <w:p w14:paraId="5CA7AD92" w14:textId="77777777" w:rsidR="00FD04DA" w:rsidRPr="00FD04DA" w:rsidRDefault="00FD04DA" w:rsidP="004F7A80">
      <w:pPr>
        <w:pStyle w:val="BodyTextSingle"/>
        <w:spacing w:after="190"/>
        <w:ind w:firstLine="0"/>
        <w:jc w:val="both"/>
      </w:pPr>
      <w:r>
        <w:rPr>
          <w:i/>
        </w:rPr>
        <w:t xml:space="preserve">Judd v. EnergySolutions </w:t>
      </w:r>
      <w:r>
        <w:t xml:space="preserve">(Antitrust) </w:t>
      </w:r>
      <w:r w:rsidR="00035647">
        <w:t xml:space="preserve">(Report) </w:t>
      </w:r>
      <w:r>
        <w:t>2010</w:t>
      </w:r>
    </w:p>
    <w:p w14:paraId="5773AC8F" w14:textId="3401C32F" w:rsidR="002C3178" w:rsidRDefault="002C3178" w:rsidP="00DC5AFD"/>
    <w:p w14:paraId="6E3707EE" w14:textId="15E6D712" w:rsidR="005C4CB8" w:rsidRPr="00B80406" w:rsidRDefault="00B80406" w:rsidP="00B80406">
      <w:pPr>
        <w:pStyle w:val="Subheading"/>
        <w:spacing w:before="360"/>
        <w:jc w:val="both"/>
        <w:rPr>
          <w:smallCaps/>
          <w:sz w:val="20"/>
          <w:szCs w:val="20"/>
          <w:u w:val="single"/>
        </w:rPr>
      </w:pPr>
      <w:r w:rsidRPr="00B80406">
        <w:rPr>
          <w:smallCaps/>
          <w:sz w:val="20"/>
          <w:szCs w:val="20"/>
          <w:u w:val="single"/>
        </w:rPr>
        <w:lastRenderedPageBreak/>
        <w:t>CONSULTING CASES</w:t>
      </w:r>
      <w:r>
        <w:rPr>
          <w:smallCaps/>
          <w:sz w:val="20"/>
          <w:szCs w:val="20"/>
          <w:u w:val="single"/>
        </w:rPr>
        <w:t>____________________________________________________________________________</w:t>
      </w:r>
    </w:p>
    <w:p w14:paraId="691329F8" w14:textId="40C5FC18" w:rsidR="00B80406" w:rsidRPr="00911A2C" w:rsidRDefault="003D56D8" w:rsidP="00911A2C">
      <w:r>
        <w:t>Epic</w:t>
      </w:r>
      <w:r w:rsidR="00911A2C">
        <w:t xml:space="preserve"> v. Google, 2022</w:t>
      </w:r>
    </w:p>
    <w:p w14:paraId="27BAAA0F" w14:textId="77D2D4B4" w:rsidR="00280A3F" w:rsidRPr="00E22CCC" w:rsidRDefault="00E22CCC" w:rsidP="00736A8E">
      <w:pPr>
        <w:pStyle w:val="Subheading"/>
        <w:spacing w:before="360"/>
        <w:jc w:val="both"/>
        <w:rPr>
          <w:smallCaps/>
        </w:rPr>
      </w:pPr>
      <w:r w:rsidRPr="00E22CCC">
        <w:rPr>
          <w:smallCaps/>
        </w:rPr>
        <w:t>Journal Referee</w:t>
      </w:r>
    </w:p>
    <w:p w14:paraId="3F1ACA21" w14:textId="77777777" w:rsidR="00035647" w:rsidRDefault="00035647" w:rsidP="00035647">
      <w:pPr>
        <w:spacing w:after="240"/>
        <w:jc w:val="both"/>
      </w:pPr>
      <w:r>
        <w:t>Antitrust Bulletin (Economics Editor)</w:t>
      </w:r>
    </w:p>
    <w:p w14:paraId="01C9352D" w14:textId="77777777" w:rsidR="00280A3F" w:rsidRDefault="002A033E">
      <w:pPr>
        <w:spacing w:after="240"/>
        <w:jc w:val="both"/>
      </w:pPr>
      <w:r>
        <w:t>Journal of Forensic Economics</w:t>
      </w:r>
    </w:p>
    <w:p w14:paraId="1F09A304" w14:textId="77777777" w:rsidR="00280A3F" w:rsidRDefault="002A033E">
      <w:pPr>
        <w:spacing w:after="240"/>
        <w:jc w:val="both"/>
      </w:pPr>
      <w:r>
        <w:t>Journal of the Licensing Executive Society</w:t>
      </w:r>
    </w:p>
    <w:sectPr w:rsidR="00280A3F" w:rsidSect="00E22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76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CE3A" w14:textId="77777777" w:rsidR="00380FD2" w:rsidRDefault="00380FD2">
      <w:r>
        <w:separator/>
      </w:r>
    </w:p>
  </w:endnote>
  <w:endnote w:type="continuationSeparator" w:id="0">
    <w:p w14:paraId="42BB16A0" w14:textId="77777777" w:rsidR="00380FD2" w:rsidRDefault="0038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9B87" w14:textId="77777777" w:rsidR="00A5205D" w:rsidRDefault="00A5205D" w:rsidP="00863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bookmarkStart w:id="0" w:name="_iDocIDFieldceb311b5-bee8-42f9-aebf-3031"/>
  <w:p w14:paraId="51338167" w14:textId="77777777" w:rsidR="00A5205D" w:rsidRDefault="00A520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4844-8040-2986.v3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f34f4628-7037-4004-afac-8b23"/>
  <w:p w14:paraId="2403BDC0" w14:textId="77777777" w:rsidR="00A5205D" w:rsidRDefault="00A520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4844-8040-2986.v3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1928dd63-0237-4cc1-80b9-b1bc"/>
  <w:p w14:paraId="49659FAA" w14:textId="77777777" w:rsidR="00A5205D" w:rsidRDefault="00A520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4844-8040-2986.v3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8AE0" w14:textId="77777777" w:rsidR="00380FD2" w:rsidRDefault="00380FD2">
      <w:r>
        <w:separator/>
      </w:r>
    </w:p>
  </w:footnote>
  <w:footnote w:type="continuationSeparator" w:id="0">
    <w:p w14:paraId="630FB786" w14:textId="77777777" w:rsidR="00380FD2" w:rsidRDefault="0038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C4C9" w14:textId="77777777" w:rsidR="008731E4" w:rsidRDefault="00873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94DA" w14:textId="77777777" w:rsidR="008731E4" w:rsidRDefault="00873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A8C9" w14:textId="7C1F0989" w:rsidR="004D0BF3" w:rsidRPr="00C3301D" w:rsidRDefault="00C3301D">
    <w:pPr>
      <w:pStyle w:val="Header"/>
      <w:rPr>
        <w:sz w:val="22"/>
        <w:szCs w:val="22"/>
      </w:rPr>
    </w:pPr>
    <w:r>
      <w:tab/>
    </w:r>
    <w:r>
      <w:tab/>
    </w:r>
    <w:r w:rsidR="00B73EC5">
      <w:rPr>
        <w:sz w:val="22"/>
        <w:szCs w:val="22"/>
      </w:rPr>
      <w:t>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3A3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31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Stamp_1_OptionalControlValues" w:val="ClientMatter|&amp;Client/Matter|0|%cm"/>
    <w:docVar w:name="MPDocID" w:val="4838-6398-6958.1"/>
    <w:docVar w:name="MPDocIDTemplate" w:val="%n|.%v"/>
    <w:docVar w:name="MPDocIDTemplateDefault" w:val="%c.%m/|%n|.%v"/>
    <w:docVar w:name="NewDocStampType" w:val="1"/>
    <w:docVar w:name="zzmp10NoTrailerPromptID" w:val="4834-1730-4580.1"/>
    <w:docVar w:name="zzmp10TP" w:val="4917192"/>
  </w:docVars>
  <w:rsids>
    <w:rsidRoot w:val="00280A3F"/>
    <w:rsid w:val="00035647"/>
    <w:rsid w:val="000830D8"/>
    <w:rsid w:val="000C0755"/>
    <w:rsid w:val="000F52D2"/>
    <w:rsid w:val="00111850"/>
    <w:rsid w:val="00124C5F"/>
    <w:rsid w:val="00141EAF"/>
    <w:rsid w:val="001C1FEE"/>
    <w:rsid w:val="001F45B0"/>
    <w:rsid w:val="00200238"/>
    <w:rsid w:val="002646AF"/>
    <w:rsid w:val="00280A3F"/>
    <w:rsid w:val="00292A4F"/>
    <w:rsid w:val="002A033E"/>
    <w:rsid w:val="002C3178"/>
    <w:rsid w:val="002E60D7"/>
    <w:rsid w:val="00301D9F"/>
    <w:rsid w:val="003428A4"/>
    <w:rsid w:val="00351F5D"/>
    <w:rsid w:val="0036341C"/>
    <w:rsid w:val="00380FD2"/>
    <w:rsid w:val="0039331A"/>
    <w:rsid w:val="003A5EC1"/>
    <w:rsid w:val="003A60E5"/>
    <w:rsid w:val="003B34CF"/>
    <w:rsid w:val="003D4CBA"/>
    <w:rsid w:val="003D56D8"/>
    <w:rsid w:val="00421AD4"/>
    <w:rsid w:val="004820CB"/>
    <w:rsid w:val="00484D43"/>
    <w:rsid w:val="004D0BF3"/>
    <w:rsid w:val="004E6C35"/>
    <w:rsid w:val="004F7A80"/>
    <w:rsid w:val="00536F8F"/>
    <w:rsid w:val="005A47CD"/>
    <w:rsid w:val="005C4CB8"/>
    <w:rsid w:val="005F5FCC"/>
    <w:rsid w:val="00634DB4"/>
    <w:rsid w:val="006A3E08"/>
    <w:rsid w:val="006C0D0B"/>
    <w:rsid w:val="007263F1"/>
    <w:rsid w:val="00736A8E"/>
    <w:rsid w:val="00783281"/>
    <w:rsid w:val="007A1320"/>
    <w:rsid w:val="007E1B97"/>
    <w:rsid w:val="007F6363"/>
    <w:rsid w:val="008731E4"/>
    <w:rsid w:val="0088046A"/>
    <w:rsid w:val="00893BA2"/>
    <w:rsid w:val="00896453"/>
    <w:rsid w:val="008A41D2"/>
    <w:rsid w:val="008D465D"/>
    <w:rsid w:val="008E63B5"/>
    <w:rsid w:val="00900B1B"/>
    <w:rsid w:val="00911A2C"/>
    <w:rsid w:val="009617C3"/>
    <w:rsid w:val="00983E40"/>
    <w:rsid w:val="00992507"/>
    <w:rsid w:val="0099378E"/>
    <w:rsid w:val="00A5205D"/>
    <w:rsid w:val="00A870D7"/>
    <w:rsid w:val="00B63BB4"/>
    <w:rsid w:val="00B73EC5"/>
    <w:rsid w:val="00B80406"/>
    <w:rsid w:val="00B81A14"/>
    <w:rsid w:val="00B82D19"/>
    <w:rsid w:val="00BB4A5D"/>
    <w:rsid w:val="00BD4263"/>
    <w:rsid w:val="00C3301D"/>
    <w:rsid w:val="00C33932"/>
    <w:rsid w:val="00C56C9C"/>
    <w:rsid w:val="00CB309B"/>
    <w:rsid w:val="00CB3F5A"/>
    <w:rsid w:val="00CC2BC2"/>
    <w:rsid w:val="00CD3A6E"/>
    <w:rsid w:val="00D5095F"/>
    <w:rsid w:val="00D60FE8"/>
    <w:rsid w:val="00DA074F"/>
    <w:rsid w:val="00DC5AFD"/>
    <w:rsid w:val="00E22CCC"/>
    <w:rsid w:val="00E8789F"/>
    <w:rsid w:val="00ED5C64"/>
    <w:rsid w:val="00EE4180"/>
    <w:rsid w:val="00EF0BE9"/>
    <w:rsid w:val="00F1634D"/>
    <w:rsid w:val="00F3291E"/>
    <w:rsid w:val="00FA03A5"/>
    <w:rsid w:val="00FC4045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  <w14:docId w14:val="10678A93"/>
  <w15:docId w15:val="{58CEC799-0336-4C09-A3B5-E2E220A3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5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5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customStyle="1" w:styleId="BodyTextSingle">
    <w:name w:val="Body Text Single"/>
    <w:basedOn w:val="Normal"/>
    <w:pPr>
      <w:spacing w:after="240"/>
      <w:ind w:firstLine="720"/>
    </w:pPr>
  </w:style>
  <w:style w:type="paragraph" w:customStyle="1" w:styleId="BodyTextSingleCont">
    <w:name w:val="Body Text Single Cont."/>
    <w:basedOn w:val="Normal"/>
    <w:next w:val="BodyTextSingle"/>
    <w:pPr>
      <w:spacing w:after="240"/>
    </w:pPr>
  </w:style>
  <w:style w:type="paragraph" w:customStyle="1" w:styleId="Subheading">
    <w:name w:val="Subheading"/>
    <w:basedOn w:val="Normal"/>
    <w:pPr>
      <w:keepNext/>
      <w:pBdr>
        <w:bottom w:val="single" w:sz="4" w:space="1" w:color="auto"/>
      </w:pBdr>
      <w:spacing w:after="240"/>
    </w:pPr>
    <w:rPr>
      <w:b/>
      <w:spacing w:val="-3"/>
    </w:rPr>
  </w:style>
  <w:style w:type="paragraph" w:styleId="NoSpacing">
    <w:name w:val="No Spacing"/>
    <w:uiPriority w:val="1"/>
    <w:qFormat/>
    <w:rPr>
      <w:rFonts w:eastAsia="Times New Roman"/>
      <w:lang w:eastAsia="en-US"/>
    </w:rPr>
  </w:style>
  <w:style w:type="paragraph" w:styleId="ListBullet">
    <w:name w:val="List Bullet"/>
    <w:basedOn w:val="Normal"/>
    <w:pPr>
      <w:numPr>
        <w:numId w:val="1"/>
      </w:numPr>
      <w:contextualSpacing/>
    </w:pPr>
  </w:style>
  <w:style w:type="character" w:customStyle="1" w:styleId="zzmpTrailerItem">
    <w:name w:val="zzmpTrailerItem"/>
    <w:basedOn w:val="DefaultParagraphFont"/>
    <w:rsid w:val="00484D4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rsid w:val="004F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A8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ocID">
    <w:name w:val="DocID"/>
    <w:basedOn w:val="Footer"/>
    <w:next w:val="Footer"/>
    <w:link w:val="DocIDChar"/>
    <w:rsid w:val="004D0BF3"/>
    <w:pPr>
      <w:tabs>
        <w:tab w:val="clear" w:pos="4680"/>
        <w:tab w:val="clear" w:pos="9360"/>
      </w:tabs>
      <w:spacing w:after="240"/>
    </w:pPr>
    <w:rPr>
      <w:sz w:val="16"/>
    </w:rPr>
  </w:style>
  <w:style w:type="character" w:customStyle="1" w:styleId="DocIDChar">
    <w:name w:val="DocID Char"/>
    <w:basedOn w:val="DefaultParagraphFont"/>
    <w:link w:val="DocID"/>
    <w:rsid w:val="004D0BF3"/>
    <w:rPr>
      <w:rFonts w:eastAsia="Times New Roman"/>
      <w:sz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21A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AD4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AD4"/>
    <w:rPr>
      <w:rFonts w:eastAsia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DC5A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C5A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he%20Sackett%20Group\MacPac\Templates\Busin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AE306A-589F-45E1-8DF3-15BCFFF7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Business.dotx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 Behle &amp; Latimer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ccurtis</dc:creator>
  <cp:lastModifiedBy>Mark Glick</cp:lastModifiedBy>
  <cp:revision>3</cp:revision>
  <cp:lastPrinted>2021-02-04T19:58:00Z</cp:lastPrinted>
  <dcterms:created xsi:type="dcterms:W3CDTF">2022-10-01T15:51:00Z</dcterms:created>
  <dcterms:modified xsi:type="dcterms:W3CDTF">2022-10-01T15:52:00Z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4844-8040-2986.v3</vt:lpwstr>
  </property>
  <property fmtid="{D5CDD505-2E9C-101B-9397-08002B2CF9AE}" pid="3" name="NDDocNumber">
    <vt:lpwstr>4850-7513-4492</vt:lpwstr>
  </property>
  <property fmtid="{D5CDD505-2E9C-101B-9397-08002B2CF9AE}" pid="4" name="CUS_DocIDChunk0">
    <vt:lpwstr>4844-8040-2986.v3</vt:lpwstr>
  </property>
  <property fmtid="{D5CDD505-2E9C-101B-9397-08002B2CF9AE}" pid="5" name="CUS_DocIDActiveBits">
    <vt:lpwstr>98304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</Properties>
</file>